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AC04DF">
      <w:pPr>
        <w:spacing w:line="560" w:lineRule="exact"/>
        <w:rPr>
          <w:rFonts w:ascii="黑体" w:hAnsi="黑体" w:eastAsia="黑体"/>
          <w:bCs/>
          <w:sz w:val="32"/>
          <w:szCs w:val="32"/>
        </w:rPr>
      </w:pPr>
      <w:r>
        <w:rPr>
          <w:rFonts w:ascii="黑体" w:hAnsi="黑体" w:eastAsia="黑体"/>
          <w:bCs/>
          <w:sz w:val="32"/>
          <w:szCs w:val="32"/>
        </w:rPr>
        <w:t>附件</w:t>
      </w:r>
      <w:r>
        <w:rPr>
          <w:rFonts w:hint="eastAsia" w:ascii="黑体" w:hAnsi="黑体" w:eastAsia="黑体"/>
          <w:bCs/>
          <w:sz w:val="32"/>
          <w:szCs w:val="32"/>
        </w:rPr>
        <w:t>6</w:t>
      </w:r>
    </w:p>
    <w:p w14:paraId="4BD701CA">
      <w:pPr>
        <w:spacing w:line="560" w:lineRule="exact"/>
        <w:rPr>
          <w:rFonts w:ascii="黑体" w:hAnsi="黑体" w:eastAsia="黑体"/>
          <w:bCs/>
          <w:sz w:val="32"/>
          <w:szCs w:val="32"/>
        </w:rPr>
      </w:pPr>
    </w:p>
    <w:p w14:paraId="666647A0">
      <w:pPr>
        <w:spacing w:line="560" w:lineRule="exact"/>
        <w:jc w:val="center"/>
        <w:rPr>
          <w:rFonts w:ascii="Times New Roman" w:hAnsi="Times New Roman" w:eastAsia="方正小标宋简体"/>
          <w:bCs/>
          <w:sz w:val="40"/>
          <w:szCs w:val="40"/>
        </w:rPr>
      </w:pPr>
      <w:bookmarkStart w:id="5" w:name="_GoBack"/>
      <w:r>
        <w:rPr>
          <w:rFonts w:ascii="Times New Roman" w:hAnsi="Times New Roman" w:eastAsia="方正小标宋简体"/>
          <w:bCs/>
          <w:sz w:val="40"/>
          <w:szCs w:val="40"/>
        </w:rPr>
        <w:t>青岛年度经济成就宣传发布活动实施办法（试行）</w:t>
      </w:r>
      <w:bookmarkEnd w:id="5"/>
    </w:p>
    <w:p w14:paraId="626D44E0">
      <w:pPr>
        <w:spacing w:line="560" w:lineRule="exact"/>
        <w:jc w:val="center"/>
        <w:rPr>
          <w:rFonts w:ascii="Times New Roman" w:hAnsi="Times New Roman" w:eastAsia="楷体_GB2312"/>
          <w:sz w:val="32"/>
          <w:szCs w:val="32"/>
        </w:rPr>
      </w:pPr>
      <w:r>
        <w:rPr>
          <w:rFonts w:ascii="Times New Roman" w:hAnsi="Times New Roman" w:eastAsia="楷体_GB2312"/>
          <w:sz w:val="32"/>
          <w:szCs w:val="32"/>
        </w:rPr>
        <w:t>（2025年3月修订稿）</w:t>
      </w:r>
    </w:p>
    <w:p w14:paraId="304C9DEE">
      <w:pPr>
        <w:spacing w:line="400" w:lineRule="exact"/>
        <w:rPr>
          <w:rFonts w:ascii="Times New Roman" w:hAnsi="Times New Roman"/>
          <w:sz w:val="28"/>
          <w:szCs w:val="28"/>
        </w:rPr>
      </w:pPr>
    </w:p>
    <w:p w14:paraId="2C4A2436">
      <w:pPr>
        <w:spacing w:line="560" w:lineRule="exact"/>
        <w:jc w:val="center"/>
        <w:rPr>
          <w:rFonts w:ascii="Times New Roman" w:hAnsi="Times New Roman" w:eastAsia="黑体"/>
          <w:bCs/>
          <w:sz w:val="32"/>
          <w:szCs w:val="32"/>
        </w:rPr>
      </w:pPr>
      <w:r>
        <w:rPr>
          <w:rFonts w:ascii="Times New Roman" w:hAnsi="Times New Roman" w:eastAsia="黑体"/>
          <w:bCs/>
          <w:sz w:val="32"/>
          <w:szCs w:val="32"/>
        </w:rPr>
        <w:t>第一章 总则</w:t>
      </w:r>
    </w:p>
    <w:p w14:paraId="4604D52B">
      <w:pPr>
        <w:spacing w:line="560" w:lineRule="exact"/>
        <w:ind w:firstLine="627" w:firstLineChars="196"/>
        <w:rPr>
          <w:rFonts w:ascii="Times New Roman" w:hAnsi="Times New Roman" w:eastAsia="黑体"/>
          <w:bCs/>
          <w:sz w:val="32"/>
          <w:szCs w:val="32"/>
        </w:rPr>
      </w:pPr>
      <w:r>
        <w:rPr>
          <w:rFonts w:ascii="Times New Roman" w:hAnsi="Times New Roman" w:eastAsia="黑体"/>
          <w:bCs/>
          <w:sz w:val="32"/>
          <w:szCs w:val="32"/>
        </w:rPr>
        <w:t>第一条</w:t>
      </w:r>
      <w:r>
        <w:rPr>
          <w:rFonts w:ascii="Times New Roman" w:hAnsi="Times New Roman" w:eastAsia="仿宋_GB2312"/>
          <w:b/>
          <w:sz w:val="32"/>
          <w:szCs w:val="32"/>
        </w:rPr>
        <w:t xml:space="preserve">  </w:t>
      </w:r>
      <w:r>
        <w:rPr>
          <w:rFonts w:ascii="Times New Roman" w:hAnsi="Times New Roman" w:eastAsia="仿宋_GB2312"/>
          <w:sz w:val="32"/>
          <w:szCs w:val="32"/>
        </w:rPr>
        <w:t>为全面贯彻习近平新时代中国特色社会主义思想，激发企业和企业家致力于全面建设社会主义现代化国家和中华民族伟大复兴而奋斗的热情，认真总结青岛企业年度经济发展的重要成果，充分褒扬为青岛经济发展做出贡献的优秀企业家和卓越人物，树立学习、借鉴的典型与标杆，大力弘扬与宣传企业家精神，激发创新活力，稳定发展信心和预期，突出党建引领，积极推动青岛企业和经济的高质量发展，由青岛市企业联合会、青岛市企业家协会、青岛市工业经济联合会和青岛主流新闻媒体主办“青岛年度经济成就宣传发布活动”。为使该活动规范开展，特制定本实施办法。</w:t>
      </w:r>
    </w:p>
    <w:p w14:paraId="0274BF45">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第二条</w:t>
      </w:r>
      <w:r>
        <w:rPr>
          <w:rFonts w:ascii="Times New Roman" w:hAnsi="Times New Roman" w:eastAsia="仿宋_GB2312"/>
          <w:b/>
          <w:sz w:val="32"/>
          <w:szCs w:val="32"/>
        </w:rPr>
        <w:t xml:space="preserve">  </w:t>
      </w:r>
      <w:r>
        <w:rPr>
          <w:rFonts w:ascii="Times New Roman" w:hAnsi="Times New Roman" w:eastAsia="仿宋_GB2312"/>
          <w:sz w:val="32"/>
          <w:szCs w:val="32"/>
        </w:rPr>
        <w:t>青岛年度经济成就宣传发布活动旨在对本年度青岛市行政区域内发生的重要经济事件、注册或登记在青岛市的各类有突出贡献的企业或经济组织及其优秀负责人或先进人物、典型案例等，进行标杆选树与宣传展示，积极营造关心青岛经济发展、学习效仿先进企业与人物的社会风尚。</w:t>
      </w:r>
    </w:p>
    <w:p w14:paraId="548434FA">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第三条</w:t>
      </w:r>
      <w:r>
        <w:rPr>
          <w:rFonts w:ascii="Times New Roman" w:hAnsi="Times New Roman" w:eastAsia="仿宋_GB2312"/>
          <w:b/>
          <w:sz w:val="32"/>
          <w:szCs w:val="32"/>
        </w:rPr>
        <w:t xml:space="preserve">  </w:t>
      </w:r>
      <w:r>
        <w:rPr>
          <w:rFonts w:ascii="Times New Roman" w:hAnsi="Times New Roman" w:eastAsia="仿宋_GB2312"/>
          <w:sz w:val="32"/>
          <w:szCs w:val="32"/>
        </w:rPr>
        <w:t>青岛年度经济成就宣传发布活动，坚持社会主义核心价值观，遵循“公开、公正、公平”和“客观、务实、择优”的原则，规范审查标准和程序，以社会责任和经济贡献为主要依据。</w:t>
      </w:r>
    </w:p>
    <w:p w14:paraId="0A37C0DB">
      <w:pPr>
        <w:spacing w:line="560" w:lineRule="exact"/>
        <w:jc w:val="center"/>
        <w:rPr>
          <w:rFonts w:ascii="Times New Roman" w:hAnsi="Times New Roman" w:eastAsia="黑体"/>
          <w:bCs/>
          <w:sz w:val="32"/>
          <w:szCs w:val="32"/>
        </w:rPr>
      </w:pPr>
      <w:r>
        <w:rPr>
          <w:rFonts w:ascii="Times New Roman" w:hAnsi="Times New Roman" w:eastAsia="黑体"/>
          <w:bCs/>
          <w:sz w:val="32"/>
          <w:szCs w:val="32"/>
        </w:rPr>
        <w:t>第二章 组织机构</w:t>
      </w:r>
    </w:p>
    <w:p w14:paraId="2FB9C9C0">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第四条</w:t>
      </w:r>
      <w:r>
        <w:rPr>
          <w:rFonts w:ascii="Times New Roman" w:hAnsi="Times New Roman" w:eastAsia="仿宋_GB2312"/>
          <w:b/>
          <w:sz w:val="32"/>
          <w:szCs w:val="32"/>
        </w:rPr>
        <w:t xml:space="preserve">  </w:t>
      </w:r>
      <w:r>
        <w:rPr>
          <w:rFonts w:ascii="Times New Roman" w:hAnsi="Times New Roman" w:eastAsia="仿宋_GB2312"/>
          <w:sz w:val="32"/>
          <w:szCs w:val="32"/>
        </w:rPr>
        <w:t>青岛市委宣传部、青岛市工商业联合会、青岛市工业和信息化局、青岛市商务局、青岛市人民政府国有资产监督管理委员会、青岛市民营经济发展局为青岛年度经济成就宣传发布活动的指导单位。</w:t>
      </w:r>
    </w:p>
    <w:p w14:paraId="568778FF">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 xml:space="preserve">第五条 </w:t>
      </w:r>
      <w:r>
        <w:rPr>
          <w:rFonts w:ascii="Times New Roman" w:hAnsi="Times New Roman" w:eastAsia="仿宋_GB2312"/>
          <w:b/>
          <w:sz w:val="32"/>
          <w:szCs w:val="32"/>
        </w:rPr>
        <w:t xml:space="preserve"> </w:t>
      </w:r>
      <w:r>
        <w:rPr>
          <w:rFonts w:ascii="Times New Roman" w:hAnsi="Times New Roman" w:eastAsia="仿宋_GB2312"/>
          <w:sz w:val="32"/>
          <w:szCs w:val="32"/>
        </w:rPr>
        <w:t>青岛市企业联合会、青岛市企业家协会、青岛市工业经济联合会、青岛日报社、青岛市广播电视台、青岛出版集团为青</w:t>
      </w:r>
      <w:bookmarkStart w:id="0" w:name="_Hlk120961369"/>
      <w:r>
        <w:rPr>
          <w:rFonts w:ascii="Times New Roman" w:hAnsi="Times New Roman" w:eastAsia="仿宋_GB2312"/>
          <w:sz w:val="32"/>
          <w:szCs w:val="32"/>
        </w:rPr>
        <w:t>岛年度经济成就宣传发布</w:t>
      </w:r>
      <w:bookmarkEnd w:id="0"/>
      <w:r>
        <w:rPr>
          <w:rFonts w:ascii="Times New Roman" w:hAnsi="Times New Roman" w:eastAsia="仿宋_GB2312"/>
          <w:sz w:val="32"/>
          <w:szCs w:val="32"/>
        </w:rPr>
        <w:t>活动的共同主办单位。</w:t>
      </w:r>
    </w:p>
    <w:p w14:paraId="5F651B7D">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第六条</w:t>
      </w:r>
      <w:r>
        <w:rPr>
          <w:rFonts w:ascii="Times New Roman" w:hAnsi="Times New Roman" w:eastAsia="仿宋_GB2312"/>
          <w:b/>
          <w:sz w:val="32"/>
          <w:szCs w:val="32"/>
        </w:rPr>
        <w:t xml:space="preserve">  </w:t>
      </w:r>
      <w:r>
        <w:rPr>
          <w:rFonts w:ascii="Times New Roman" w:hAnsi="Times New Roman" w:eastAsia="仿宋_GB2312"/>
          <w:sz w:val="32"/>
          <w:szCs w:val="32"/>
        </w:rPr>
        <w:t>成立</w:t>
      </w:r>
      <w:bookmarkStart w:id="1" w:name="_Hlk120980843"/>
      <w:r>
        <w:rPr>
          <w:rFonts w:ascii="Times New Roman" w:hAnsi="Times New Roman" w:eastAsia="仿宋_GB2312"/>
          <w:sz w:val="32"/>
          <w:szCs w:val="32"/>
        </w:rPr>
        <w:t>青岛年度经济成就宣传发布活动指导委员会</w:t>
      </w:r>
      <w:bookmarkEnd w:id="1"/>
      <w:r>
        <w:rPr>
          <w:rFonts w:ascii="Times New Roman" w:hAnsi="Times New Roman" w:eastAsia="仿宋_GB2312"/>
          <w:sz w:val="32"/>
          <w:szCs w:val="32"/>
        </w:rPr>
        <w:t>，主任由青岛市企业联合会党委书记、会长与青岛市工业经济联合会会长共同担任；成员由青岛市企业联合会执行会长、青岛市委宣传部、青岛市工商业联合会、青岛市工业和信息化局、青岛市商务局、青岛市人民政府国有资产监督管理委员会、青岛市民营经济发展局、青岛日报社、青岛市广播电视台以及青岛出版集团主要负责同志组成。</w:t>
      </w:r>
    </w:p>
    <w:p w14:paraId="69B5AB00">
      <w:pPr>
        <w:spacing w:line="560" w:lineRule="exact"/>
        <w:ind w:firstLine="640"/>
        <w:rPr>
          <w:rFonts w:ascii="Times New Roman" w:hAnsi="Times New Roman" w:eastAsia="仿宋_GB2312"/>
          <w:sz w:val="32"/>
          <w:szCs w:val="32"/>
        </w:rPr>
      </w:pPr>
      <w:bookmarkStart w:id="2" w:name="_Hlk120992854"/>
      <w:r>
        <w:rPr>
          <w:rFonts w:ascii="Times New Roman" w:hAnsi="Times New Roman" w:eastAsia="仿宋_GB2312"/>
          <w:sz w:val="32"/>
          <w:szCs w:val="32"/>
        </w:rPr>
        <w:t>青岛年度经济成就宣传发布活动指导委员会下设办公室</w:t>
      </w:r>
      <w:bookmarkEnd w:id="2"/>
      <w:r>
        <w:rPr>
          <w:rFonts w:ascii="Times New Roman" w:hAnsi="Times New Roman" w:eastAsia="仿宋_GB2312"/>
          <w:sz w:val="32"/>
          <w:szCs w:val="32"/>
        </w:rPr>
        <w:t>，办公室主任由青岛市企业联合会执行会长担任，办公室成员由上述三家媒体相关负责同志和青岛市企业联合会等相关工作人员组成。</w:t>
      </w:r>
    </w:p>
    <w:p w14:paraId="5433D8AA">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 xml:space="preserve">第七条 </w:t>
      </w:r>
      <w:r>
        <w:rPr>
          <w:rFonts w:ascii="Times New Roman" w:hAnsi="Times New Roman" w:eastAsia="仿宋_GB2312"/>
          <w:b/>
          <w:sz w:val="32"/>
          <w:szCs w:val="32"/>
        </w:rPr>
        <w:t xml:space="preserve"> </w:t>
      </w:r>
      <w:r>
        <w:rPr>
          <w:rFonts w:ascii="Times New Roman" w:hAnsi="Times New Roman" w:eastAsia="仿宋_GB2312"/>
          <w:sz w:val="32"/>
          <w:szCs w:val="32"/>
        </w:rPr>
        <w:t>组建青岛年度经济成就宣传发布活动审查委员会（以下简称审查委员会）。</w:t>
      </w:r>
      <w:bookmarkStart w:id="3" w:name="_Hlk120993403"/>
      <w:r>
        <w:rPr>
          <w:rFonts w:ascii="Times New Roman" w:hAnsi="Times New Roman" w:eastAsia="仿宋_GB2312"/>
          <w:sz w:val="32"/>
          <w:szCs w:val="32"/>
        </w:rPr>
        <w:t>聘请著名经济专家等担任特邀顾问；由经济管理专家担任审查委员会主任、副主任</w:t>
      </w:r>
      <w:bookmarkEnd w:id="3"/>
      <w:r>
        <w:rPr>
          <w:rFonts w:ascii="Times New Roman" w:hAnsi="Times New Roman" w:eastAsia="仿宋_GB2312"/>
          <w:sz w:val="32"/>
          <w:szCs w:val="32"/>
        </w:rPr>
        <w:t>；审查委员由具有企业财务会计、审计、外经外贸等经济管理专业背景的人员以及从经济专家库、媒体专家库、企业专家库中随机抽取的人员组成。</w:t>
      </w:r>
    </w:p>
    <w:p w14:paraId="6BBCE691">
      <w:pPr>
        <w:spacing w:line="560" w:lineRule="exact"/>
        <w:jc w:val="center"/>
        <w:rPr>
          <w:rFonts w:ascii="Times New Roman" w:hAnsi="Times New Roman" w:eastAsia="黑体"/>
          <w:bCs/>
          <w:sz w:val="32"/>
          <w:szCs w:val="32"/>
        </w:rPr>
      </w:pPr>
      <w:r>
        <w:rPr>
          <w:rFonts w:ascii="Times New Roman" w:hAnsi="Times New Roman" w:eastAsia="黑体"/>
          <w:bCs/>
          <w:sz w:val="32"/>
          <w:szCs w:val="32"/>
        </w:rPr>
        <w:t>第三章 发布项目设置</w:t>
      </w:r>
    </w:p>
    <w:p w14:paraId="1EB5DBA6">
      <w:pPr>
        <w:spacing w:line="560" w:lineRule="exact"/>
        <w:ind w:firstLine="640" w:firstLineChars="200"/>
        <w:rPr>
          <w:rFonts w:ascii="Times New Roman" w:hAnsi="Times New Roman" w:eastAsia="黑体"/>
          <w:bCs/>
          <w:sz w:val="32"/>
          <w:szCs w:val="32"/>
        </w:rPr>
      </w:pPr>
      <w:r>
        <w:rPr>
          <w:rFonts w:ascii="Times New Roman" w:hAnsi="Times New Roman" w:eastAsia="黑体"/>
          <w:bCs/>
          <w:sz w:val="32"/>
          <w:szCs w:val="32"/>
        </w:rPr>
        <w:t>第八条</w:t>
      </w:r>
      <w:r>
        <w:rPr>
          <w:rFonts w:ascii="Times New Roman" w:hAnsi="Times New Roman" w:eastAsia="仿宋_GB2312"/>
          <w:b/>
          <w:sz w:val="32"/>
          <w:szCs w:val="32"/>
        </w:rPr>
        <w:t xml:space="preserve">  </w:t>
      </w:r>
      <w:r>
        <w:rPr>
          <w:rFonts w:ascii="Times New Roman" w:hAnsi="Times New Roman" w:eastAsia="仿宋_GB2312"/>
          <w:sz w:val="32"/>
          <w:szCs w:val="32"/>
        </w:rPr>
        <w:t>青岛年度经济成就每年5月举行宣传发布活动，项目包括：年度青岛经济事件、年度青岛经济人物、年度青岛经济新锐人物、年度青岛榜样企业、年度青岛新质领航企业、年度青岛国际贸易先锋企业和年度青岛企业高质量发展典型案例。</w:t>
      </w:r>
    </w:p>
    <w:p w14:paraId="760ABCF5">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 xml:space="preserve">第九条 </w:t>
      </w:r>
      <w:r>
        <w:rPr>
          <w:rFonts w:ascii="Times New Roman" w:hAnsi="Times New Roman" w:eastAsia="仿宋_GB2312"/>
          <w:b/>
          <w:sz w:val="32"/>
          <w:szCs w:val="32"/>
        </w:rPr>
        <w:t xml:space="preserve"> </w:t>
      </w:r>
      <w:r>
        <w:rPr>
          <w:rFonts w:ascii="Times New Roman" w:hAnsi="Times New Roman" w:eastAsia="仿宋_GB2312"/>
          <w:sz w:val="32"/>
          <w:szCs w:val="32"/>
        </w:rPr>
        <w:t>对青岛年度经济成就宣传发布活动成果进行总结，汇编发布《青岛年度经济成就报告》，并结集出版年度《城市骄傲》一书。</w:t>
      </w:r>
    </w:p>
    <w:p w14:paraId="7DBBAB98">
      <w:pPr>
        <w:spacing w:line="560" w:lineRule="exact"/>
        <w:jc w:val="center"/>
        <w:rPr>
          <w:rFonts w:ascii="Times New Roman" w:hAnsi="Times New Roman" w:eastAsia="黑体"/>
          <w:bCs/>
          <w:sz w:val="32"/>
          <w:szCs w:val="32"/>
        </w:rPr>
      </w:pPr>
      <w:r>
        <w:rPr>
          <w:rFonts w:ascii="Times New Roman" w:hAnsi="Times New Roman" w:eastAsia="黑体"/>
          <w:bCs/>
          <w:sz w:val="32"/>
          <w:szCs w:val="32"/>
        </w:rPr>
        <w:t>第四章 审查标准</w:t>
      </w:r>
    </w:p>
    <w:p w14:paraId="71DD82DC">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第十条</w:t>
      </w:r>
      <w:r>
        <w:rPr>
          <w:rFonts w:ascii="Times New Roman" w:hAnsi="Times New Roman" w:eastAsia="仿宋_GB2312"/>
          <w:b/>
          <w:sz w:val="32"/>
          <w:szCs w:val="32"/>
        </w:rPr>
        <w:t xml:space="preserve">  </w:t>
      </w:r>
      <w:r>
        <w:rPr>
          <w:rFonts w:ascii="Times New Roman" w:hAnsi="Times New Roman" w:eastAsia="仿宋_GB2312"/>
          <w:sz w:val="32"/>
          <w:szCs w:val="32"/>
        </w:rPr>
        <w:t>年度青岛经济事件以对青岛经济发展有重大影响为主要遴选依据。审查主要结合经济事件对青岛经济增长的贡献度、对青岛产业生态填补情况或产业辐射力与带动力、在媒体报道情况与传播关注率、经济专家研究与社会民众口碑评价等，由青岛主流媒体从最近一个年度发生的事件中筛选出20项重大事件，通过网络接受公众公开投票，经审查委员会评议排序，在听取相关方面意见的基础上，最终确定10项年度青岛经济事件。</w:t>
      </w:r>
    </w:p>
    <w:p w14:paraId="0AB395F4">
      <w:pPr>
        <w:widowControl/>
        <w:spacing w:line="560" w:lineRule="exact"/>
        <w:ind w:firstLine="640" w:firstLineChars="200"/>
        <w:jc w:val="left"/>
        <w:rPr>
          <w:rFonts w:ascii="Times New Roman" w:hAnsi="Times New Roman" w:eastAsia="黑体"/>
          <w:bCs/>
          <w:sz w:val="32"/>
          <w:szCs w:val="32"/>
        </w:rPr>
      </w:pPr>
      <w:r>
        <w:rPr>
          <w:rFonts w:ascii="Times New Roman" w:hAnsi="Times New Roman" w:eastAsia="黑体"/>
          <w:bCs/>
          <w:sz w:val="32"/>
          <w:szCs w:val="32"/>
        </w:rPr>
        <w:t xml:space="preserve">第十一条 </w:t>
      </w:r>
      <w:r>
        <w:rPr>
          <w:rFonts w:ascii="Times New Roman" w:hAnsi="Times New Roman" w:eastAsia="仿宋_GB2312"/>
          <w:b/>
          <w:sz w:val="32"/>
          <w:szCs w:val="32"/>
        </w:rPr>
        <w:t xml:space="preserve"> </w:t>
      </w:r>
      <w:r>
        <w:rPr>
          <w:rFonts w:ascii="Times New Roman" w:hAnsi="Times New Roman" w:eastAsia="仿宋_GB2312"/>
          <w:sz w:val="32"/>
          <w:szCs w:val="32"/>
        </w:rPr>
        <w:t>年度青岛经济人物以拥护中国共产党的领导、遵纪守法、近期对企业发展做出突出贡献为主要审查依据。参加审查范围必须是在青岛行政区域内登记注册、具有独立法人资格的企业主要负责人，包括董事长、董事会（局）主席、首席执行官、总裁、总经理等职务的企业负责人，中央、省驻青企业机构主要负责人，且任企业主要领导职务3年及以上。</w:t>
      </w:r>
    </w:p>
    <w:p w14:paraId="2665D1EA">
      <w:pPr>
        <w:spacing w:line="560" w:lineRule="exact"/>
        <w:ind w:firstLine="630"/>
        <w:rPr>
          <w:rFonts w:ascii="Times New Roman" w:hAnsi="Times New Roman" w:eastAsia="仿宋_GB2312"/>
          <w:sz w:val="32"/>
          <w:szCs w:val="32"/>
        </w:rPr>
      </w:pPr>
      <w:r>
        <w:rPr>
          <w:rFonts w:ascii="Times New Roman" w:hAnsi="Times New Roman" w:eastAsia="仿宋_GB2312"/>
          <w:sz w:val="32"/>
          <w:szCs w:val="32"/>
        </w:rPr>
        <w:t>主要审查指标包括：（1）符合审查的政治条件，具有大格局和强烈的事业心，人品人格高尚，且有良好的职业道德，社会口碑良好；（2）经济业绩突出，所在企业达到大型企业标准，中小型企业一般应属于市政府确定的重点产业链龙头企业或链主企业、“四新”领域龙头企业或链主企业、细分市场单项冠军企业或“专精特新”企业；企业经营业绩突出，资产质量良好，且具有良好的成长性，主要经济指标居于行业前列或较往年有较大提升；（3）积极参加并支持公益慈善事业，以实际行动关心员工成长与社会公正，支持环保、质量、安全生产等事业，体现强烈的责任担当；（4）领导力、员工认可与社会影响，有较强的战略决策能力和杰出的领导力，组织实施对全市或行业产业结构调整有重大影响的项目，引进国际重点合作项目，企业技术创新能力居国际或国内前列，在发展和培育新质生产力、发展实体经济等方面做出突出贡献；社会知名度很高，单位绩效考核优秀，群众威信或满意度高，所领导企业具有较强的行业引领力。具体审查计分表详见附件一。</w:t>
      </w:r>
    </w:p>
    <w:p w14:paraId="22B221D8">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第十二条</w:t>
      </w:r>
      <w:r>
        <w:rPr>
          <w:rFonts w:ascii="Times New Roman" w:hAnsi="Times New Roman" w:eastAsia="仿宋_GB2312"/>
          <w:b/>
          <w:sz w:val="32"/>
          <w:szCs w:val="32"/>
        </w:rPr>
        <w:t xml:space="preserve">  </w:t>
      </w:r>
      <w:r>
        <w:rPr>
          <w:rFonts w:ascii="Times New Roman" w:hAnsi="Times New Roman" w:eastAsia="仿宋_GB2312"/>
          <w:sz w:val="32"/>
          <w:szCs w:val="32"/>
        </w:rPr>
        <w:t>年度青岛经济新锐人物以拥护中国共产党的领导，遵纪守法，对青岛市经济社会发展具有开拓性、创新性、引领性的潜质为主要审查依据。参加审查范围包括企业家、企业高管、技术人才、市场营销高手、招商引资骨干、经济与管理理论研究专家、资本市场与经济服务中介机构专业人士等。审查的主要指标包括：（1）符合入选的政治条件，事业心强，人品良好，年轻有为，积极进取，有良好的职业道德，诚实守信，具有良好的培养潜力和发展前途；（2）经济业绩较为突出：担任主要负责人或高管，领导企业在营业收入、税收缴纳、吸收劳动就业、投资回报等方面在青岛同行业中表现良好；或者主持高新技术研发项目获得成功，取得一定数量的专利技术或创造发明；或者主导开发新兴市场，促使企业市场占有率获得较大提高；或者主导有影响力的重要招商引资项目取得成功；或者完成经济管理理论重要创新成果，出版经济管理领域有较大影响力的著作或论文并获得市级以上成果奖；或者主持基金与股权投资、资本运作、企业IPO等取得良好成绩；或者在审计、法律、保荐等中介服务方面业绩突出等；（3）单位评价、社会影响与社会责任担当：个人取得的成绩得到所在单位充分认可，具有较大的社会影响力与示范带头作用，积极参加并支持社会公益慈善事业。具体审查计分表详见附件二。</w:t>
      </w:r>
    </w:p>
    <w:p w14:paraId="29CF6DDA">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第十三条</w:t>
      </w:r>
      <w:r>
        <w:rPr>
          <w:rFonts w:ascii="Times New Roman" w:hAnsi="Times New Roman" w:eastAsia="仿宋_GB2312"/>
          <w:b/>
          <w:sz w:val="32"/>
          <w:szCs w:val="32"/>
        </w:rPr>
        <w:t xml:space="preserve">  </w:t>
      </w:r>
      <w:r>
        <w:rPr>
          <w:rFonts w:ascii="Times New Roman" w:hAnsi="Times New Roman" w:eastAsia="仿宋_GB2312"/>
          <w:sz w:val="32"/>
          <w:szCs w:val="32"/>
        </w:rPr>
        <w:t>年度青岛榜样企业依据中央《关于加快建设世界一流企业的指导意见》的精神，以具备一流企业潜质、或在高新技术、专精特新和青岛重点产业链具有代表性、创新性、引领性为主要审查依据。主要审查指标包括：示范引领力、产品与品牌影响力</w:t>
      </w:r>
      <w:r>
        <w:rPr>
          <w:rFonts w:ascii="Times New Roman" w:hAnsi="Times New Roman" w:eastAsia="仿宋_GB2312"/>
          <w:color w:val="000000"/>
          <w:sz w:val="32"/>
          <w:szCs w:val="32"/>
        </w:rPr>
        <w:t>、创新与研发能力、成长能力、社会责任承担</w:t>
      </w:r>
      <w:r>
        <w:rPr>
          <w:rFonts w:hint="eastAsia" w:eastAsia="仿宋_GB2312"/>
          <w:color w:val="000000"/>
          <w:sz w:val="32"/>
          <w:szCs w:val="32"/>
        </w:rPr>
        <w:t>情况</w:t>
      </w:r>
      <w:r>
        <w:rPr>
          <w:rFonts w:ascii="Times New Roman" w:hAnsi="Times New Roman" w:eastAsia="仿宋_GB2312"/>
          <w:color w:val="000000"/>
          <w:sz w:val="32"/>
          <w:szCs w:val="32"/>
        </w:rPr>
        <w:t>。</w:t>
      </w:r>
      <w:r>
        <w:rPr>
          <w:rFonts w:ascii="Times New Roman" w:hAnsi="Times New Roman" w:eastAsia="仿宋_GB2312"/>
          <w:sz w:val="32"/>
          <w:szCs w:val="32"/>
        </w:rPr>
        <w:t>具体审查计分表详见附件三。</w:t>
      </w:r>
    </w:p>
    <w:p w14:paraId="4891B38C">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第十四条</w:t>
      </w:r>
      <w:r>
        <w:rPr>
          <w:rFonts w:ascii="Times New Roman" w:hAnsi="Times New Roman" w:eastAsia="仿宋_GB2312"/>
          <w:b/>
          <w:sz w:val="32"/>
          <w:szCs w:val="32"/>
        </w:rPr>
        <w:t xml:space="preserve">  </w:t>
      </w:r>
      <w:r>
        <w:rPr>
          <w:rFonts w:ascii="Times New Roman" w:hAnsi="Times New Roman" w:eastAsia="仿宋_GB2312"/>
          <w:sz w:val="32"/>
          <w:szCs w:val="32"/>
        </w:rPr>
        <w:t>年度青岛新质领航企业应坚持以发展新质生产力为根本，利用科技创新催生新技术、新产业、新业态、新模式，在智能制造、人工智能、数字经济等现代化产业类别和高新技术、颠覆式创新等科创领域中有较为突出的贡献，实现生产方式跃迁，同时在技术、产品、服务、商业模式等方面表现出显著的创新性，并且具有较快的成长潜力和较高的市场价值，为行业的创新变革和可持续发展做出重要贡献。</w:t>
      </w:r>
      <w:r>
        <w:rPr>
          <w:rFonts w:hint="eastAsia" w:ascii="仿宋_GB2312" w:hAnsi="Times New Roman" w:eastAsia="仿宋_GB2312"/>
          <w:color w:val="000000"/>
          <w:sz w:val="32"/>
          <w:szCs w:val="32"/>
        </w:rPr>
        <w:t>参加审查范围必须是</w:t>
      </w:r>
      <w:r>
        <w:rPr>
          <w:rFonts w:hint="eastAsia" w:ascii="仿宋_GB2312" w:eastAsia="仿宋_GB2312"/>
          <w:color w:val="000000"/>
          <w:sz w:val="32"/>
          <w:szCs w:val="32"/>
        </w:rPr>
        <w:t>有效期内</w:t>
      </w:r>
      <w:r>
        <w:rPr>
          <w:rFonts w:hint="eastAsia" w:ascii="仿宋_GB2312" w:hAnsi="Times New Roman" w:eastAsia="仿宋_GB2312"/>
          <w:color w:val="000000"/>
          <w:sz w:val="32"/>
          <w:szCs w:val="32"/>
        </w:rPr>
        <w:t>的国家级“制造业单项冠军”</w:t>
      </w:r>
      <w:r>
        <w:rPr>
          <w:rFonts w:hint="eastAsia" w:ascii="仿宋_GB2312" w:eastAsia="仿宋_GB2312"/>
          <w:color w:val="000000"/>
          <w:sz w:val="32"/>
          <w:szCs w:val="32"/>
        </w:rPr>
        <w:t>企业</w:t>
      </w:r>
      <w:r>
        <w:rPr>
          <w:rFonts w:hint="eastAsia" w:ascii="仿宋_GB2312" w:hAnsi="Times New Roman" w:eastAsia="仿宋_GB2312"/>
          <w:color w:val="000000"/>
          <w:sz w:val="32"/>
          <w:szCs w:val="32"/>
        </w:rPr>
        <w:t>、国家级“专精特新”小</w:t>
      </w:r>
      <w:r>
        <w:rPr>
          <w:rFonts w:hint="eastAsia" w:ascii="仿宋_GB2312" w:hAnsi="微软雅黑" w:eastAsia="仿宋_GB2312"/>
          <w:color w:val="000000"/>
          <w:sz w:val="32"/>
          <w:szCs w:val="32"/>
        </w:rPr>
        <w:t>巨</w:t>
      </w:r>
      <w:r>
        <w:rPr>
          <w:rFonts w:hint="eastAsia" w:ascii="仿宋_GB2312" w:hAnsi="Times New Roman" w:eastAsia="仿宋_GB2312"/>
          <w:color w:val="000000"/>
          <w:sz w:val="32"/>
          <w:szCs w:val="32"/>
        </w:rPr>
        <w:t>人企业、国家技术创新示范企业、卓越级智能工</w:t>
      </w:r>
      <w:r>
        <w:rPr>
          <w:rFonts w:hint="eastAsia" w:ascii="仿宋_GB2312" w:hAnsi="微软雅黑" w:eastAsia="仿宋_GB2312"/>
          <w:color w:val="000000"/>
          <w:sz w:val="32"/>
          <w:szCs w:val="32"/>
        </w:rPr>
        <w:t>厂</w:t>
      </w:r>
      <w:r>
        <w:rPr>
          <w:rFonts w:hint="eastAsia" w:ascii="仿宋_GB2312" w:hAnsi="Times New Roman" w:eastAsia="仿宋_GB2312"/>
          <w:color w:val="000000"/>
          <w:sz w:val="32"/>
          <w:szCs w:val="32"/>
        </w:rPr>
        <w:t>、独</w:t>
      </w:r>
      <w:r>
        <w:rPr>
          <w:rFonts w:hint="eastAsia" w:ascii="仿宋_GB2312" w:hAnsi="微软雅黑" w:eastAsia="仿宋_GB2312"/>
          <w:color w:val="000000"/>
          <w:sz w:val="32"/>
          <w:szCs w:val="32"/>
        </w:rPr>
        <w:t>角兽</w:t>
      </w:r>
      <w:r>
        <w:rPr>
          <w:rFonts w:hint="eastAsia" w:ascii="仿宋_GB2312" w:hAnsi="Times New Roman" w:eastAsia="仿宋_GB2312"/>
          <w:color w:val="000000"/>
          <w:sz w:val="32"/>
          <w:szCs w:val="32"/>
        </w:rPr>
        <w:t>企业、</w:t>
      </w:r>
      <w:r>
        <w:rPr>
          <w:rFonts w:hint="eastAsia" w:ascii="仿宋_GB2312" w:hAnsi="微软雅黑" w:eastAsia="仿宋_GB2312"/>
          <w:color w:val="000000"/>
          <w:sz w:val="32"/>
          <w:szCs w:val="32"/>
        </w:rPr>
        <w:t>瞪羚</w:t>
      </w:r>
      <w:r>
        <w:rPr>
          <w:rFonts w:hint="eastAsia" w:ascii="仿宋_GB2312" w:hAnsi="Times New Roman" w:eastAsia="仿宋_GB2312"/>
          <w:color w:val="000000"/>
          <w:sz w:val="32"/>
          <w:szCs w:val="32"/>
        </w:rPr>
        <w:t>企业，以及主营业务、产业和技术属于战略性新兴产业（具体产业参照国家统计局发布的《战略性新兴产业分类（2018）》）或</w:t>
      </w:r>
      <w:r>
        <w:rPr>
          <w:rFonts w:hint="eastAsia" w:ascii="仿宋_GB2312" w:hAnsi="微软雅黑" w:eastAsia="仿宋_GB2312"/>
          <w:color w:val="000000"/>
          <w:sz w:val="32"/>
          <w:szCs w:val="32"/>
        </w:rPr>
        <w:t>未来</w:t>
      </w:r>
      <w:r>
        <w:rPr>
          <w:rFonts w:hint="eastAsia" w:ascii="仿宋_GB2312" w:hAnsi="___WRD_EMBED_SUB_41" w:eastAsia="仿宋_GB2312"/>
          <w:color w:val="000000"/>
          <w:sz w:val="32"/>
          <w:szCs w:val="32"/>
        </w:rPr>
        <w:t>产业</w:t>
      </w:r>
      <w:r>
        <w:rPr>
          <w:rFonts w:hint="eastAsia" w:ascii="仿宋_GB2312" w:hAnsi="Times New Roman" w:eastAsia="仿宋_GB2312"/>
          <w:color w:val="000000"/>
          <w:sz w:val="32"/>
          <w:szCs w:val="32"/>
        </w:rPr>
        <w:t>（参照工信部等</w:t>
      </w:r>
      <w:r>
        <w:rPr>
          <w:rFonts w:hint="eastAsia" w:ascii="仿宋_GB2312" w:hAnsi="微软雅黑" w:eastAsia="仿宋_GB2312"/>
          <w:color w:val="000000"/>
          <w:sz w:val="32"/>
          <w:szCs w:val="32"/>
        </w:rPr>
        <w:t>七</w:t>
      </w:r>
      <w:r>
        <w:rPr>
          <w:rFonts w:hint="eastAsia" w:ascii="仿宋_GB2312" w:hAnsi="Times New Roman" w:eastAsia="仿宋_GB2312"/>
          <w:color w:val="000000"/>
          <w:sz w:val="32"/>
          <w:szCs w:val="32"/>
        </w:rPr>
        <w:t>部门公布的《关于推动</w:t>
      </w:r>
      <w:r>
        <w:rPr>
          <w:rFonts w:hint="eastAsia" w:ascii="仿宋_GB2312" w:hAnsi="微软雅黑" w:eastAsia="仿宋_GB2312"/>
          <w:color w:val="000000"/>
          <w:sz w:val="32"/>
          <w:szCs w:val="32"/>
        </w:rPr>
        <w:t>未来</w:t>
      </w:r>
      <w:r>
        <w:rPr>
          <w:rFonts w:hint="eastAsia" w:ascii="仿宋_GB2312" w:hAnsi="Times New Roman" w:eastAsia="仿宋_GB2312"/>
          <w:color w:val="000000"/>
          <w:sz w:val="32"/>
          <w:szCs w:val="32"/>
        </w:rPr>
        <w:t>产业创新发展的实施意见》中提到的</w:t>
      </w:r>
      <w:r>
        <w:rPr>
          <w:rFonts w:hint="eastAsia" w:ascii="仿宋_GB2312" w:hAnsi="微软雅黑" w:eastAsia="仿宋_GB2312"/>
          <w:color w:val="000000"/>
          <w:sz w:val="32"/>
          <w:szCs w:val="32"/>
        </w:rPr>
        <w:t>未来</w:t>
      </w:r>
      <w:r>
        <w:rPr>
          <w:rFonts w:hint="eastAsia" w:ascii="仿宋_GB2312" w:hAnsi="Times New Roman" w:eastAsia="仿宋_GB2312"/>
          <w:color w:val="000000"/>
          <w:sz w:val="32"/>
          <w:szCs w:val="32"/>
        </w:rPr>
        <w:t>产业六大</w:t>
      </w:r>
      <w:r>
        <w:rPr>
          <w:rFonts w:hint="eastAsia" w:ascii="仿宋_GB2312" w:hAnsi="微软雅黑" w:eastAsia="仿宋_GB2312"/>
          <w:color w:val="000000"/>
          <w:sz w:val="32"/>
          <w:szCs w:val="32"/>
        </w:rPr>
        <w:t>赛</w:t>
      </w:r>
      <w:r>
        <w:rPr>
          <w:rFonts w:hint="eastAsia" w:ascii="仿宋_GB2312" w:hAnsi="___WRD_EMBED_SUB_41" w:eastAsia="仿宋_GB2312"/>
          <w:color w:val="000000"/>
          <w:sz w:val="32"/>
          <w:szCs w:val="32"/>
        </w:rPr>
        <w:t>道</w:t>
      </w:r>
      <w:r>
        <w:rPr>
          <w:rFonts w:hint="eastAsia" w:ascii="仿宋_GB2312" w:hAnsi="Times New Roman" w:eastAsia="仿宋_GB2312"/>
          <w:color w:val="000000"/>
          <w:sz w:val="32"/>
          <w:szCs w:val="32"/>
        </w:rPr>
        <w:t>，且核心技术具有颠覆性、引领性、补</w:t>
      </w:r>
      <w:r>
        <w:rPr>
          <w:rFonts w:hint="eastAsia" w:ascii="仿宋_GB2312" w:hAnsi="微软雅黑" w:eastAsia="仿宋_GB2312"/>
          <w:color w:val="000000"/>
          <w:sz w:val="32"/>
          <w:szCs w:val="32"/>
        </w:rPr>
        <w:t>白</w:t>
      </w:r>
      <w:r>
        <w:rPr>
          <w:rFonts w:hint="eastAsia" w:ascii="仿宋_GB2312" w:hAnsi="___WRD_EMBED_SUB_41" w:eastAsia="仿宋_GB2312"/>
          <w:color w:val="000000"/>
          <w:sz w:val="32"/>
          <w:szCs w:val="32"/>
        </w:rPr>
        <w:t>性创新</w:t>
      </w:r>
      <w:r>
        <w:rPr>
          <w:rFonts w:hint="eastAsia" w:ascii="仿宋_GB2312" w:hAnsi="Times New Roman" w:eastAsia="仿宋_GB2312"/>
          <w:color w:val="000000"/>
          <w:sz w:val="32"/>
          <w:szCs w:val="32"/>
        </w:rPr>
        <w:t>的企业。主要审查指标包括：（1）主营业务及核心技术具有颠覆性、引领性、补</w:t>
      </w:r>
      <w:r>
        <w:rPr>
          <w:rFonts w:hint="eastAsia" w:ascii="仿宋_GB2312" w:hAnsi="微软雅黑" w:eastAsia="仿宋_GB2312"/>
          <w:color w:val="000000"/>
          <w:sz w:val="32"/>
          <w:szCs w:val="32"/>
        </w:rPr>
        <w:t>白</w:t>
      </w:r>
      <w:r>
        <w:rPr>
          <w:rFonts w:hint="eastAsia" w:ascii="仿宋_GB2312" w:hAnsi="Times New Roman" w:eastAsia="仿宋_GB2312"/>
          <w:color w:val="000000"/>
          <w:sz w:val="32"/>
          <w:szCs w:val="32"/>
        </w:rPr>
        <w:t>性创新；（2）创新与研发能力；（3）诚信经营情况。具体审查计分表详见附件四。</w:t>
      </w:r>
    </w:p>
    <w:p w14:paraId="5FA10EAA">
      <w:pPr>
        <w:spacing w:line="560" w:lineRule="exact"/>
        <w:ind w:firstLine="640" w:firstLineChars="200"/>
        <w:rPr>
          <w:rFonts w:ascii="Times New Roman" w:hAnsi="Times New Roman" w:eastAsia="黑体"/>
          <w:bCs/>
          <w:color w:val="000000"/>
          <w:sz w:val="32"/>
          <w:szCs w:val="32"/>
        </w:rPr>
      </w:pPr>
      <w:r>
        <w:rPr>
          <w:rFonts w:ascii="Times New Roman" w:hAnsi="Times New Roman" w:eastAsia="黑体"/>
          <w:bCs/>
          <w:color w:val="000000"/>
          <w:sz w:val="32"/>
          <w:szCs w:val="32"/>
        </w:rPr>
        <w:t>第十五条</w:t>
      </w:r>
      <w:r>
        <w:rPr>
          <w:rFonts w:ascii="Times New Roman" w:hAnsi="Times New Roman" w:eastAsia="仿宋_GB2312"/>
          <w:color w:val="000000"/>
          <w:sz w:val="32"/>
          <w:szCs w:val="32"/>
        </w:rPr>
        <w:t xml:space="preserve">  年度青岛国际贸易先锋企业应</w:t>
      </w:r>
      <w:r>
        <w:rPr>
          <w:rFonts w:hint="eastAsia" w:ascii="Times New Roman" w:hAnsi="Times New Roman" w:eastAsia="仿宋_GB2312"/>
          <w:color w:val="000000"/>
          <w:sz w:val="32"/>
          <w:szCs w:val="32"/>
        </w:rPr>
        <w:t>致力于国内国际双循环相互促进，</w:t>
      </w:r>
      <w:r>
        <w:rPr>
          <w:rFonts w:hint="eastAsia" w:ascii="Times New Roman" w:hAnsi="Times New Roman" w:eastAsia="仿宋_GB2312"/>
          <w:sz w:val="32"/>
          <w:szCs w:val="32"/>
        </w:rPr>
        <w:t>助力青岛外经贸高质量发展</w:t>
      </w:r>
      <w:r>
        <w:rPr>
          <w:rFonts w:ascii="Times New Roman" w:hAnsi="Times New Roman" w:eastAsia="仿宋_GB2312"/>
          <w:sz w:val="32"/>
          <w:szCs w:val="32"/>
        </w:rPr>
        <w:t>，</w:t>
      </w:r>
      <w:r>
        <w:rPr>
          <w:rFonts w:hint="eastAsia" w:ascii="Times New Roman" w:hAnsi="Times New Roman" w:eastAsia="仿宋_GB2312"/>
          <w:sz w:val="32"/>
          <w:szCs w:val="32"/>
        </w:rPr>
        <w:t>有利于提升我市国际化水平</w:t>
      </w:r>
      <w:r>
        <w:rPr>
          <w:rFonts w:ascii="Times New Roman" w:hAnsi="Times New Roman" w:eastAsia="仿宋_GB2312"/>
          <w:sz w:val="32"/>
          <w:szCs w:val="32"/>
        </w:rPr>
        <w:t>。主要审查指标包括：（1）年</w:t>
      </w:r>
      <w:r>
        <w:rPr>
          <w:rFonts w:hint="eastAsia" w:ascii="Times New Roman" w:hAnsi="Times New Roman" w:eastAsia="仿宋_GB2312"/>
          <w:sz w:val="32"/>
          <w:szCs w:val="32"/>
        </w:rPr>
        <w:t>度</w:t>
      </w:r>
      <w:r>
        <w:rPr>
          <w:rFonts w:ascii="Times New Roman" w:hAnsi="Times New Roman" w:eastAsia="仿宋_GB2312"/>
          <w:sz w:val="32"/>
          <w:szCs w:val="32"/>
        </w:rPr>
        <w:t>进出口总额；（2）年</w:t>
      </w:r>
      <w:r>
        <w:rPr>
          <w:rFonts w:hint="eastAsia" w:ascii="Times New Roman" w:hAnsi="Times New Roman" w:eastAsia="仿宋_GB2312"/>
          <w:sz w:val="32"/>
          <w:szCs w:val="32"/>
        </w:rPr>
        <w:t>度</w:t>
      </w:r>
      <w:r>
        <w:rPr>
          <w:rFonts w:ascii="Times New Roman" w:hAnsi="Times New Roman" w:eastAsia="仿宋_GB2312"/>
          <w:sz w:val="32"/>
          <w:szCs w:val="32"/>
        </w:rPr>
        <w:t>进出口总额增长率；（3）在海关、外汇、税务等进出口业务中的诚信经营情况。具体审查计分表详见附件五。</w:t>
      </w:r>
    </w:p>
    <w:p w14:paraId="0B5E2B76">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第十六条</w:t>
      </w:r>
      <w:r>
        <w:rPr>
          <w:rFonts w:ascii="Times New Roman" w:hAnsi="Times New Roman" w:eastAsia="仿宋_GB2312"/>
          <w:b/>
          <w:sz w:val="32"/>
          <w:szCs w:val="32"/>
        </w:rPr>
        <w:t xml:space="preserve">  </w:t>
      </w:r>
      <w:r>
        <w:rPr>
          <w:rFonts w:ascii="Times New Roman" w:hAnsi="Times New Roman" w:eastAsia="仿宋_GB2312"/>
          <w:sz w:val="32"/>
          <w:szCs w:val="32"/>
        </w:rPr>
        <w:t>年度青岛企业高质量发展典型案例，以贯彻新发展理念和深化供给侧结构性改革为指导，以科技创新引领和推动传统产业升级，壮大优势产业和培育新兴产业，特别是以颠覆性技术和前沿技术催生新产业、新模式、新动能，发展和培育新质生产力，推动经济实现质的有效提升和量的合理增长为主要遴选依据。主要审查指标包括：（1）符合创新、协调、绿色、开放、共享的新发展理念；（2）属于青岛重点产业链情况及产业本地化程度；（3）项目或业务高端创新情况。</w:t>
      </w:r>
      <w:bookmarkStart w:id="4" w:name="_Hlk120978429"/>
      <w:r>
        <w:rPr>
          <w:rFonts w:ascii="Times New Roman" w:hAnsi="Times New Roman" w:eastAsia="仿宋_GB2312"/>
          <w:sz w:val="32"/>
          <w:szCs w:val="32"/>
        </w:rPr>
        <w:t>具体审查计分表详见附件六。</w:t>
      </w:r>
      <w:bookmarkEnd w:id="4"/>
    </w:p>
    <w:p w14:paraId="2C85EEAC">
      <w:pPr>
        <w:spacing w:line="560" w:lineRule="exact"/>
        <w:jc w:val="center"/>
        <w:rPr>
          <w:rFonts w:ascii="Times New Roman" w:hAnsi="Times New Roman" w:eastAsia="黑体"/>
          <w:bCs/>
          <w:sz w:val="32"/>
          <w:szCs w:val="32"/>
        </w:rPr>
      </w:pPr>
      <w:r>
        <w:rPr>
          <w:rFonts w:ascii="Times New Roman" w:hAnsi="Times New Roman" w:eastAsia="黑体"/>
          <w:bCs/>
          <w:sz w:val="32"/>
          <w:szCs w:val="32"/>
        </w:rPr>
        <w:t>第五章 审查与发布程序</w:t>
      </w:r>
    </w:p>
    <w:p w14:paraId="3103C273">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第十七条</w:t>
      </w:r>
      <w:r>
        <w:rPr>
          <w:rFonts w:ascii="Times New Roman" w:hAnsi="Times New Roman" w:eastAsia="仿宋_GB2312"/>
          <w:b/>
          <w:sz w:val="32"/>
          <w:szCs w:val="32"/>
        </w:rPr>
        <w:t xml:space="preserve">  </w:t>
      </w:r>
      <w:r>
        <w:rPr>
          <w:rFonts w:ascii="Times New Roman" w:hAnsi="Times New Roman" w:eastAsia="仿宋_GB2312"/>
          <w:sz w:val="32"/>
          <w:szCs w:val="32"/>
        </w:rPr>
        <w:t>启动申报。青岛年度经济成就宣传发布活动指导委员会办公室选择合适时间在青岛新闻媒体和青岛市企业联合会官方网站对外公布项目并发出通知启动申报。</w:t>
      </w:r>
    </w:p>
    <w:p w14:paraId="6A3A232C">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第十八条</w:t>
      </w:r>
      <w:r>
        <w:rPr>
          <w:rFonts w:ascii="Times New Roman" w:hAnsi="Times New Roman" w:eastAsia="仿宋_GB2312"/>
          <w:b/>
          <w:sz w:val="32"/>
          <w:szCs w:val="32"/>
        </w:rPr>
        <w:t xml:space="preserve">  </w:t>
      </w:r>
      <w:r>
        <w:rPr>
          <w:rFonts w:ascii="Times New Roman" w:hAnsi="Times New Roman" w:eastAsia="仿宋_GB2312"/>
          <w:sz w:val="32"/>
          <w:szCs w:val="32"/>
        </w:rPr>
        <w:t>推荐申报。参加单位按拟申报项目填写相应申报表，并按附件和申报通知的统一格式要求准备相应的证明材料。其中，“年度国际贸易先锋企业”项目无需填报申报表，审查依据海关统计数据和组织调查情况赋分。各参加单位须如实填报，并对填报内容和提供材料的真实性负责，在规定时间内将附件和相应证明材料集中报送至指导委员会办公室。</w:t>
      </w:r>
    </w:p>
    <w:p w14:paraId="7E23CF01">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第十九条</w:t>
      </w:r>
      <w:r>
        <w:rPr>
          <w:rFonts w:ascii="Times New Roman" w:hAnsi="Times New Roman" w:eastAsia="仿宋_GB2312"/>
          <w:b/>
          <w:sz w:val="32"/>
          <w:szCs w:val="32"/>
        </w:rPr>
        <w:t xml:space="preserve">  </w:t>
      </w:r>
      <w:r>
        <w:rPr>
          <w:rFonts w:ascii="Times New Roman" w:hAnsi="Times New Roman" w:eastAsia="仿宋_GB2312"/>
          <w:sz w:val="32"/>
          <w:szCs w:val="32"/>
        </w:rPr>
        <w:t>材料初审。指导委员会办公室负责对提交材料的规范性和真实性进行审查。对审查发现不完整、不确实的材料，限期整改完善；经审查发现弄虚作假的，取消参加资格。</w:t>
      </w:r>
    </w:p>
    <w:p w14:paraId="1349E5C7">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第二十条</w:t>
      </w:r>
      <w:r>
        <w:rPr>
          <w:rFonts w:ascii="Times New Roman" w:hAnsi="Times New Roman" w:eastAsia="仿宋_GB2312"/>
          <w:b/>
          <w:sz w:val="32"/>
          <w:szCs w:val="32"/>
        </w:rPr>
        <w:t xml:space="preserve">  </w:t>
      </w:r>
      <w:r>
        <w:rPr>
          <w:rFonts w:ascii="Times New Roman" w:hAnsi="Times New Roman" w:eastAsia="仿宋_GB2312"/>
          <w:sz w:val="32"/>
          <w:szCs w:val="32"/>
        </w:rPr>
        <w:t>专家审查。指导委员会负责聘请著名经济学家担任特邀顾问，聘请经济管理专家担任审查委员会主任、副主任，同时负责从3个库中为每个发布项目各随机抽选至少7名专家作为审查委员，审查专家须与参加单位或个人无任何利益关联，共同组成年度审查委员会。</w:t>
      </w:r>
    </w:p>
    <w:p w14:paraId="721FC54B">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在规定时间内召开审查委员会会议，审查专家在签署保密协议和承诺书后集中审阅参评材料，并以实名制独立完成赋分，然后由指导委员会办公室负责汇总、统计，按照平均得分对审查项目分别排序。</w:t>
      </w:r>
    </w:p>
    <w:p w14:paraId="6B900E15">
      <w:pPr>
        <w:spacing w:line="560" w:lineRule="exact"/>
        <w:ind w:firstLine="640" w:firstLineChars="200"/>
        <w:rPr>
          <w:rFonts w:ascii="Times New Roman" w:hAnsi="Times New Roman" w:eastAsia="黑体"/>
          <w:bCs/>
          <w:sz w:val="32"/>
          <w:szCs w:val="32"/>
        </w:rPr>
      </w:pPr>
      <w:r>
        <w:rPr>
          <w:rFonts w:ascii="Times New Roman" w:hAnsi="Times New Roman" w:eastAsia="黑体"/>
          <w:bCs/>
          <w:sz w:val="32"/>
          <w:szCs w:val="32"/>
        </w:rPr>
        <w:t>第二十一条</w:t>
      </w:r>
      <w:r>
        <w:rPr>
          <w:rFonts w:ascii="Times New Roman" w:hAnsi="Times New Roman" w:eastAsia="仿宋_GB2312"/>
          <w:b/>
          <w:sz w:val="32"/>
          <w:szCs w:val="32"/>
        </w:rPr>
        <w:t xml:space="preserve">  </w:t>
      </w:r>
      <w:r>
        <w:rPr>
          <w:rFonts w:ascii="Times New Roman" w:hAnsi="Times New Roman" w:eastAsia="仿宋_GB2312"/>
          <w:sz w:val="32"/>
          <w:szCs w:val="32"/>
        </w:rPr>
        <w:t>研究决定。由指导委员会根据参加项目的行业和区域分布、企业产权性质、项目质量、得分排序等情况进行综合平衡后确定每个项目的入围名单。其中，年度青岛经济人物每年产生10名；年度青岛经济新锐人物每年产生20名；年度青岛榜样企业每年产生10家；年度青岛新质领航企业10家；年度青岛国际贸易先锋企业10家（原则上本市制造业企业和其他类型企业各占50%）；年度青岛企业高质量发展典型案例根据审查标准严格把关，不作数量要求。</w:t>
      </w:r>
    </w:p>
    <w:p w14:paraId="6B22800E">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每个项目入围名单确定后，由指导委员会办公室负责联系市有关部门对各项目入围名单进行意见征询，确定最终名单。</w:t>
      </w:r>
    </w:p>
    <w:p w14:paraId="31EA94BC">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第二十二条</w:t>
      </w:r>
      <w:r>
        <w:rPr>
          <w:rFonts w:ascii="Times New Roman" w:hAnsi="Times New Roman" w:eastAsia="仿宋_GB2312"/>
          <w:b/>
          <w:sz w:val="32"/>
          <w:szCs w:val="32"/>
        </w:rPr>
        <w:t xml:space="preserve">  </w:t>
      </w:r>
      <w:r>
        <w:rPr>
          <w:rFonts w:ascii="Times New Roman" w:hAnsi="Times New Roman" w:eastAsia="仿宋_GB2312"/>
          <w:sz w:val="32"/>
          <w:szCs w:val="32"/>
        </w:rPr>
        <w:t>结果公示。各项目最终入围名单须在青岛市企业联合会官方网站进行公示，公示时间不少于5个工作日。</w:t>
      </w:r>
    </w:p>
    <w:p w14:paraId="2700EAA7">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第二十三条</w:t>
      </w:r>
      <w:r>
        <w:rPr>
          <w:rFonts w:ascii="Times New Roman" w:hAnsi="Times New Roman" w:eastAsia="仿宋_GB2312"/>
          <w:b/>
          <w:sz w:val="32"/>
          <w:szCs w:val="32"/>
        </w:rPr>
        <w:t xml:space="preserve">  </w:t>
      </w:r>
      <w:r>
        <w:rPr>
          <w:rFonts w:ascii="Times New Roman" w:hAnsi="Times New Roman" w:eastAsia="仿宋_GB2312"/>
          <w:sz w:val="32"/>
          <w:szCs w:val="32"/>
        </w:rPr>
        <w:t>对外发布。每年5月份对本办法第八条的各项目举行发布典礼。</w:t>
      </w:r>
    </w:p>
    <w:p w14:paraId="223E450E">
      <w:pPr>
        <w:spacing w:line="560" w:lineRule="exact"/>
        <w:jc w:val="center"/>
        <w:rPr>
          <w:rFonts w:ascii="Times New Roman" w:hAnsi="Times New Roman" w:eastAsia="黑体"/>
          <w:bCs/>
          <w:sz w:val="32"/>
          <w:szCs w:val="32"/>
        </w:rPr>
      </w:pPr>
      <w:r>
        <w:rPr>
          <w:rFonts w:ascii="Times New Roman" w:hAnsi="Times New Roman" w:eastAsia="黑体"/>
          <w:bCs/>
          <w:sz w:val="32"/>
          <w:szCs w:val="32"/>
        </w:rPr>
        <w:t>第六章 附则</w:t>
      </w:r>
    </w:p>
    <w:p w14:paraId="6217FE7E">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 xml:space="preserve">第二十四条 </w:t>
      </w:r>
      <w:r>
        <w:rPr>
          <w:rFonts w:ascii="Times New Roman" w:hAnsi="Times New Roman" w:eastAsia="仿宋_GB2312"/>
          <w:b/>
          <w:sz w:val="32"/>
          <w:szCs w:val="32"/>
        </w:rPr>
        <w:t xml:space="preserve"> </w:t>
      </w:r>
      <w:r>
        <w:rPr>
          <w:rFonts w:ascii="Times New Roman" w:hAnsi="Times New Roman" w:eastAsia="仿宋_GB2312"/>
          <w:sz w:val="32"/>
          <w:szCs w:val="32"/>
        </w:rPr>
        <w:t>青岛年度经济成就宣传发布活动的各类项目，审查过程中不收取任何费用。</w:t>
      </w:r>
    </w:p>
    <w:p w14:paraId="2B8E65B3">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第二十五条</w:t>
      </w:r>
      <w:r>
        <w:rPr>
          <w:rFonts w:ascii="Times New Roman" w:hAnsi="Times New Roman" w:eastAsia="仿宋_GB2312"/>
          <w:b/>
          <w:sz w:val="32"/>
          <w:szCs w:val="32"/>
        </w:rPr>
        <w:t xml:space="preserve">  </w:t>
      </w:r>
      <w:r>
        <w:rPr>
          <w:rFonts w:ascii="Times New Roman" w:hAnsi="Times New Roman" w:eastAsia="仿宋_GB2312"/>
          <w:sz w:val="32"/>
          <w:szCs w:val="32"/>
        </w:rPr>
        <w:t>本实施办法由青岛年度经济成就宣传发布活动指导委员会负责解释。</w:t>
      </w:r>
    </w:p>
    <w:p w14:paraId="3BC4371D">
      <w:pPr>
        <w:spacing w:line="560" w:lineRule="exact"/>
        <w:ind w:firstLine="640"/>
        <w:rPr>
          <w:rFonts w:ascii="Times New Roman" w:hAnsi="Times New Roman" w:eastAsia="黑体"/>
          <w:bCs/>
          <w:sz w:val="32"/>
          <w:szCs w:val="32"/>
        </w:rPr>
      </w:pPr>
      <w:r>
        <w:rPr>
          <w:rFonts w:ascii="Times New Roman" w:hAnsi="Times New Roman" w:eastAsia="黑体"/>
          <w:bCs/>
          <w:sz w:val="32"/>
          <w:szCs w:val="32"/>
        </w:rPr>
        <w:t xml:space="preserve">第二十六条 </w:t>
      </w:r>
      <w:r>
        <w:rPr>
          <w:rFonts w:ascii="Times New Roman" w:hAnsi="Times New Roman" w:eastAsia="仿宋_GB2312"/>
          <w:b/>
          <w:sz w:val="32"/>
          <w:szCs w:val="32"/>
        </w:rPr>
        <w:t xml:space="preserve"> </w:t>
      </w:r>
      <w:r>
        <w:rPr>
          <w:rFonts w:ascii="Times New Roman" w:hAnsi="Times New Roman" w:eastAsia="仿宋_GB2312"/>
          <w:sz w:val="32"/>
          <w:szCs w:val="32"/>
        </w:rPr>
        <w:t>本实施办法自2025年3月16日开始执行。</w:t>
      </w:r>
    </w:p>
    <w:p w14:paraId="537F058C">
      <w:pPr>
        <w:rPr>
          <w:rFonts w:ascii="Times New Roman" w:hAnsi="Times New Roman"/>
        </w:rPr>
      </w:pPr>
    </w:p>
    <w:p w14:paraId="36D1610A">
      <w:pPr>
        <w:rPr>
          <w:rFonts w:ascii="Times New Roman" w:hAnsi="Times New Roman"/>
        </w:rPr>
        <w:sectPr>
          <w:footerReference r:id="rId3" w:type="default"/>
          <w:pgSz w:w="11906" w:h="16838"/>
          <w:pgMar w:top="2098" w:right="1531" w:bottom="1985" w:left="1531" w:header="851" w:footer="992" w:gutter="0"/>
          <w:cols w:space="720" w:num="1"/>
          <w:docGrid w:type="lines" w:linePitch="312" w:charSpace="0"/>
        </w:sectPr>
      </w:pPr>
    </w:p>
    <w:p w14:paraId="103517B1">
      <w:pPr>
        <w:jc w:val="left"/>
        <w:rPr>
          <w:rFonts w:ascii="Times New Roman" w:hAnsi="Times New Roman"/>
          <w:sz w:val="28"/>
          <w:szCs w:val="28"/>
        </w:rPr>
      </w:pPr>
      <w:r>
        <w:rPr>
          <w:rFonts w:ascii="Times New Roman" w:hAnsi="Times New Roman"/>
          <w:sz w:val="28"/>
          <w:szCs w:val="28"/>
        </w:rPr>
        <w:t>附件一</w:t>
      </w:r>
    </w:p>
    <w:p w14:paraId="5ADEA1A0">
      <w:pPr>
        <w:jc w:val="center"/>
        <w:rPr>
          <w:rFonts w:ascii="Times New Roman" w:hAnsi="Times New Roman" w:eastAsia="方正小标宋简体"/>
          <w:sz w:val="44"/>
          <w:szCs w:val="44"/>
        </w:rPr>
      </w:pPr>
      <w:r>
        <w:rPr>
          <w:rFonts w:ascii="Times New Roman" w:hAnsi="Times New Roman" w:eastAsia="方正小标宋简体"/>
          <w:sz w:val="44"/>
          <w:szCs w:val="44"/>
        </w:rPr>
        <w:t>2024年度青岛经济人物审查计分表</w:t>
      </w:r>
    </w:p>
    <w:tbl>
      <w:tblPr>
        <w:tblStyle w:val="5"/>
        <w:tblW w:w="5234" w:type="pct"/>
        <w:tblInd w:w="-513" w:type="dxa"/>
        <w:tblLayout w:type="fixed"/>
        <w:tblCellMar>
          <w:top w:w="0" w:type="dxa"/>
          <w:left w:w="108" w:type="dxa"/>
          <w:bottom w:w="0" w:type="dxa"/>
          <w:right w:w="108" w:type="dxa"/>
        </w:tblCellMar>
      </w:tblPr>
      <w:tblGrid>
        <w:gridCol w:w="1402"/>
        <w:gridCol w:w="1863"/>
        <w:gridCol w:w="749"/>
        <w:gridCol w:w="4570"/>
        <w:gridCol w:w="3428"/>
        <w:gridCol w:w="1958"/>
        <w:gridCol w:w="1391"/>
      </w:tblGrid>
      <w:tr w14:paraId="69ABF84D">
        <w:tblPrEx>
          <w:tblCellMar>
            <w:top w:w="0" w:type="dxa"/>
            <w:left w:w="108" w:type="dxa"/>
            <w:bottom w:w="0" w:type="dxa"/>
            <w:right w:w="108" w:type="dxa"/>
          </w:tblCellMar>
        </w:tblPrEx>
        <w:trPr>
          <w:trHeight w:val="600" w:hRule="atLeast"/>
          <w:tblHeader/>
        </w:trPr>
        <w:tc>
          <w:tcPr>
            <w:tcW w:w="1217" w:type="dxa"/>
            <w:tcBorders>
              <w:top w:val="single" w:color="auto" w:sz="4" w:space="0"/>
              <w:left w:val="single" w:color="auto" w:sz="4" w:space="0"/>
              <w:bottom w:val="single" w:color="auto" w:sz="4" w:space="0"/>
              <w:right w:val="single" w:color="auto" w:sz="4" w:space="0"/>
            </w:tcBorders>
            <w:noWrap/>
            <w:vAlign w:val="center"/>
          </w:tcPr>
          <w:p w14:paraId="464B5D7F">
            <w:pPr>
              <w:widowControl/>
              <w:jc w:val="center"/>
              <w:rPr>
                <w:rFonts w:ascii="Times New Roman" w:hAnsi="Times New Roman"/>
                <w:b/>
                <w:kern w:val="0"/>
                <w:sz w:val="22"/>
              </w:rPr>
            </w:pPr>
            <w:r>
              <w:rPr>
                <w:rFonts w:ascii="Times New Roman" w:hAnsi="Times New Roman"/>
                <w:b/>
                <w:kern w:val="0"/>
                <w:sz w:val="22"/>
              </w:rPr>
              <w:t>一级指标</w:t>
            </w:r>
          </w:p>
        </w:tc>
        <w:tc>
          <w:tcPr>
            <w:tcW w:w="2268" w:type="dxa"/>
            <w:gridSpan w:val="2"/>
            <w:tcBorders>
              <w:top w:val="single" w:color="auto" w:sz="4" w:space="0"/>
              <w:left w:val="nil"/>
              <w:bottom w:val="single" w:color="auto" w:sz="4" w:space="0"/>
              <w:right w:val="single" w:color="auto" w:sz="4" w:space="0"/>
            </w:tcBorders>
            <w:noWrap/>
            <w:vAlign w:val="center"/>
          </w:tcPr>
          <w:p w14:paraId="1D38C77A">
            <w:pPr>
              <w:widowControl/>
              <w:jc w:val="center"/>
              <w:rPr>
                <w:rFonts w:ascii="Times New Roman" w:hAnsi="Times New Roman"/>
                <w:b/>
                <w:kern w:val="0"/>
                <w:sz w:val="22"/>
              </w:rPr>
            </w:pPr>
            <w:r>
              <w:rPr>
                <w:rFonts w:ascii="Times New Roman" w:hAnsi="Times New Roman"/>
                <w:b/>
                <w:kern w:val="0"/>
                <w:sz w:val="22"/>
              </w:rPr>
              <w:t>二级指标</w:t>
            </w:r>
          </w:p>
        </w:tc>
        <w:tc>
          <w:tcPr>
            <w:tcW w:w="3969" w:type="dxa"/>
            <w:tcBorders>
              <w:top w:val="single" w:color="auto" w:sz="4" w:space="0"/>
              <w:left w:val="nil"/>
              <w:bottom w:val="single" w:color="auto" w:sz="4" w:space="0"/>
              <w:right w:val="single" w:color="auto" w:sz="4" w:space="0"/>
            </w:tcBorders>
            <w:vAlign w:val="center"/>
          </w:tcPr>
          <w:p w14:paraId="2E1D09F4">
            <w:pPr>
              <w:widowControl/>
              <w:ind w:firstLine="1546" w:firstLineChars="700"/>
              <w:jc w:val="left"/>
              <w:rPr>
                <w:rFonts w:ascii="Times New Roman" w:hAnsi="Times New Roman"/>
                <w:b/>
                <w:kern w:val="0"/>
                <w:sz w:val="22"/>
              </w:rPr>
            </w:pPr>
            <w:r>
              <w:rPr>
                <w:rFonts w:ascii="Times New Roman" w:hAnsi="Times New Roman"/>
                <w:b/>
                <w:kern w:val="0"/>
                <w:sz w:val="22"/>
              </w:rPr>
              <w:t>指标解释</w:t>
            </w:r>
          </w:p>
        </w:tc>
        <w:tc>
          <w:tcPr>
            <w:tcW w:w="2977" w:type="dxa"/>
            <w:tcBorders>
              <w:top w:val="single" w:color="auto" w:sz="4" w:space="0"/>
              <w:left w:val="nil"/>
              <w:bottom w:val="single" w:color="auto" w:sz="4" w:space="0"/>
              <w:right w:val="single" w:color="auto" w:sz="4" w:space="0"/>
            </w:tcBorders>
            <w:noWrap/>
            <w:vAlign w:val="center"/>
          </w:tcPr>
          <w:p w14:paraId="6789C6A1">
            <w:pPr>
              <w:widowControl/>
              <w:jc w:val="center"/>
              <w:rPr>
                <w:rFonts w:ascii="Times New Roman" w:hAnsi="Times New Roman"/>
                <w:b/>
                <w:kern w:val="0"/>
                <w:szCs w:val="21"/>
              </w:rPr>
            </w:pPr>
            <w:r>
              <w:rPr>
                <w:rFonts w:ascii="Times New Roman" w:hAnsi="Times New Roman"/>
                <w:b/>
                <w:kern w:val="0"/>
                <w:szCs w:val="21"/>
              </w:rPr>
              <w:t>赋分</w:t>
            </w:r>
            <w:r>
              <w:rPr>
                <w:rFonts w:ascii="Times New Roman" w:hAnsi="Times New Roman"/>
                <w:b/>
                <w:kern w:val="0"/>
                <w:sz w:val="22"/>
              </w:rPr>
              <w:t>细则</w:t>
            </w:r>
          </w:p>
        </w:tc>
        <w:tc>
          <w:tcPr>
            <w:tcW w:w="1701" w:type="dxa"/>
            <w:tcBorders>
              <w:top w:val="single" w:color="auto" w:sz="4" w:space="0"/>
              <w:left w:val="nil"/>
              <w:bottom w:val="single" w:color="auto" w:sz="4" w:space="0"/>
              <w:right w:val="single" w:color="auto" w:sz="4" w:space="0"/>
            </w:tcBorders>
            <w:noWrap/>
            <w:vAlign w:val="center"/>
          </w:tcPr>
          <w:p w14:paraId="11BF486D">
            <w:pPr>
              <w:widowControl/>
              <w:jc w:val="left"/>
              <w:rPr>
                <w:rFonts w:ascii="Times New Roman" w:hAnsi="Times New Roman"/>
                <w:b/>
                <w:kern w:val="0"/>
                <w:sz w:val="22"/>
              </w:rPr>
            </w:pPr>
            <w:r>
              <w:rPr>
                <w:rFonts w:ascii="Times New Roman" w:hAnsi="Times New Roman"/>
                <w:b/>
                <w:kern w:val="0"/>
                <w:sz w:val="22"/>
              </w:rPr>
              <w:t>审查依据资料</w:t>
            </w:r>
          </w:p>
        </w:tc>
        <w:tc>
          <w:tcPr>
            <w:tcW w:w="1209" w:type="dxa"/>
            <w:tcBorders>
              <w:top w:val="single" w:color="auto" w:sz="4" w:space="0"/>
              <w:left w:val="nil"/>
              <w:bottom w:val="single" w:color="auto" w:sz="4" w:space="0"/>
              <w:right w:val="single" w:color="auto" w:sz="4" w:space="0"/>
            </w:tcBorders>
            <w:vAlign w:val="center"/>
          </w:tcPr>
          <w:p w14:paraId="4A018073">
            <w:pPr>
              <w:widowControl/>
              <w:jc w:val="center"/>
              <w:rPr>
                <w:rFonts w:ascii="Times New Roman" w:hAnsi="Times New Roman"/>
                <w:b/>
                <w:kern w:val="0"/>
                <w:sz w:val="22"/>
              </w:rPr>
            </w:pPr>
            <w:r>
              <w:rPr>
                <w:rFonts w:ascii="Times New Roman" w:hAnsi="Times New Roman"/>
                <w:b/>
                <w:kern w:val="0"/>
                <w:sz w:val="22"/>
              </w:rPr>
              <w:t>审查计分</w:t>
            </w:r>
          </w:p>
        </w:tc>
      </w:tr>
      <w:tr w14:paraId="6C1BC292">
        <w:tblPrEx>
          <w:tblCellMar>
            <w:top w:w="0" w:type="dxa"/>
            <w:left w:w="108" w:type="dxa"/>
            <w:bottom w:w="0" w:type="dxa"/>
            <w:right w:w="108" w:type="dxa"/>
          </w:tblCellMar>
        </w:tblPrEx>
        <w:trPr>
          <w:trHeight w:val="810" w:hRule="atLeast"/>
        </w:trPr>
        <w:tc>
          <w:tcPr>
            <w:tcW w:w="1217" w:type="dxa"/>
            <w:vMerge w:val="restart"/>
            <w:tcBorders>
              <w:top w:val="nil"/>
              <w:left w:val="single" w:color="auto" w:sz="4" w:space="0"/>
              <w:right w:val="single" w:color="auto" w:sz="4" w:space="0"/>
            </w:tcBorders>
            <w:noWrap/>
            <w:vAlign w:val="center"/>
          </w:tcPr>
          <w:p w14:paraId="5AE4E9A2">
            <w:pPr>
              <w:widowControl/>
              <w:jc w:val="center"/>
              <w:rPr>
                <w:rFonts w:ascii="Times New Roman" w:hAnsi="Times New Roman"/>
                <w:kern w:val="0"/>
                <w:sz w:val="22"/>
              </w:rPr>
            </w:pPr>
            <w:r>
              <w:rPr>
                <w:rFonts w:ascii="Times New Roman" w:hAnsi="Times New Roman"/>
                <w:kern w:val="0"/>
                <w:sz w:val="22"/>
              </w:rPr>
              <w:t>政治与品</w:t>
            </w:r>
          </w:p>
          <w:p w14:paraId="4DCCAF0A">
            <w:pPr>
              <w:widowControl/>
              <w:rPr>
                <w:rFonts w:ascii="Times New Roman" w:hAnsi="Times New Roman"/>
                <w:kern w:val="0"/>
                <w:sz w:val="22"/>
              </w:rPr>
            </w:pPr>
            <w:r>
              <w:rPr>
                <w:rFonts w:ascii="Times New Roman" w:hAnsi="Times New Roman"/>
                <w:kern w:val="0"/>
                <w:sz w:val="22"/>
              </w:rPr>
              <w:t>格（20分）</w:t>
            </w:r>
          </w:p>
        </w:tc>
        <w:tc>
          <w:tcPr>
            <w:tcW w:w="2268" w:type="dxa"/>
            <w:gridSpan w:val="2"/>
            <w:tcBorders>
              <w:top w:val="nil"/>
              <w:left w:val="single" w:color="auto" w:sz="4" w:space="0"/>
              <w:bottom w:val="single" w:color="auto" w:sz="4" w:space="0"/>
              <w:right w:val="single" w:color="auto" w:sz="4" w:space="0"/>
            </w:tcBorders>
            <w:noWrap/>
            <w:vAlign w:val="center"/>
          </w:tcPr>
          <w:p w14:paraId="3156958B">
            <w:pPr>
              <w:widowControl/>
              <w:jc w:val="left"/>
              <w:rPr>
                <w:rFonts w:ascii="Times New Roman" w:hAnsi="Times New Roman"/>
                <w:kern w:val="0"/>
                <w:sz w:val="22"/>
              </w:rPr>
            </w:pPr>
            <w:r>
              <w:rPr>
                <w:rFonts w:ascii="Times New Roman" w:hAnsi="Times New Roman"/>
                <w:kern w:val="0"/>
                <w:sz w:val="22"/>
              </w:rPr>
              <w:t>政治可靠，人格高尚（10分）</w:t>
            </w:r>
          </w:p>
        </w:tc>
        <w:tc>
          <w:tcPr>
            <w:tcW w:w="3969" w:type="dxa"/>
            <w:tcBorders>
              <w:top w:val="nil"/>
              <w:left w:val="nil"/>
              <w:bottom w:val="single" w:color="auto" w:sz="4" w:space="0"/>
              <w:right w:val="single" w:color="auto" w:sz="4" w:space="0"/>
            </w:tcBorders>
            <w:vAlign w:val="center"/>
          </w:tcPr>
          <w:p w14:paraId="107D2185">
            <w:pPr>
              <w:widowControl/>
              <w:jc w:val="left"/>
              <w:rPr>
                <w:rFonts w:ascii="Times New Roman" w:hAnsi="Times New Roman"/>
                <w:kern w:val="0"/>
                <w:szCs w:val="21"/>
              </w:rPr>
            </w:pPr>
            <w:r>
              <w:rPr>
                <w:rFonts w:ascii="Times New Roman" w:hAnsi="Times New Roman"/>
                <w:kern w:val="0"/>
                <w:szCs w:val="21"/>
              </w:rPr>
              <w:t>拥护党的领导，</w:t>
            </w:r>
            <w:r>
              <w:rPr>
                <w:rFonts w:ascii="Times New Roman" w:hAnsi="Times New Roman"/>
                <w:szCs w:val="21"/>
              </w:rPr>
              <w:t>具有大格局和强烈的事业心，人品人格高尚，且有良好的职业道德，诚实守信，社会口碑好。</w:t>
            </w:r>
          </w:p>
        </w:tc>
        <w:tc>
          <w:tcPr>
            <w:tcW w:w="2977" w:type="dxa"/>
            <w:tcBorders>
              <w:top w:val="nil"/>
              <w:left w:val="nil"/>
              <w:bottom w:val="single" w:color="auto" w:sz="4" w:space="0"/>
              <w:right w:val="single" w:color="auto" w:sz="4" w:space="0"/>
            </w:tcBorders>
            <w:vAlign w:val="center"/>
          </w:tcPr>
          <w:p w14:paraId="799DEA74">
            <w:pPr>
              <w:widowControl/>
              <w:jc w:val="left"/>
              <w:rPr>
                <w:rFonts w:ascii="Times New Roman" w:hAnsi="Times New Roman"/>
                <w:kern w:val="0"/>
                <w:szCs w:val="21"/>
              </w:rPr>
            </w:pPr>
            <w:r>
              <w:rPr>
                <w:rFonts w:ascii="Times New Roman" w:hAnsi="Times New Roman"/>
                <w:kern w:val="0"/>
                <w:szCs w:val="21"/>
              </w:rPr>
              <w:t>符合条件得满分；有社会负面评价者，酌情扣1-5分；有反党反社会主义叛国情况的，一票否决。</w:t>
            </w:r>
          </w:p>
        </w:tc>
        <w:tc>
          <w:tcPr>
            <w:tcW w:w="1701" w:type="dxa"/>
            <w:tcBorders>
              <w:top w:val="nil"/>
              <w:left w:val="nil"/>
              <w:bottom w:val="single" w:color="auto" w:sz="4" w:space="0"/>
              <w:right w:val="single" w:color="auto" w:sz="4" w:space="0"/>
            </w:tcBorders>
            <w:vAlign w:val="center"/>
          </w:tcPr>
          <w:p w14:paraId="55189601">
            <w:pPr>
              <w:widowControl/>
              <w:jc w:val="left"/>
              <w:rPr>
                <w:rFonts w:ascii="Times New Roman" w:hAnsi="Times New Roman"/>
                <w:kern w:val="0"/>
                <w:sz w:val="22"/>
              </w:rPr>
            </w:pPr>
            <w:r>
              <w:rPr>
                <w:rFonts w:ascii="Times New Roman" w:hAnsi="Times New Roman"/>
                <w:kern w:val="0"/>
                <w:sz w:val="22"/>
              </w:rPr>
              <w:t>1.申报材料</w:t>
            </w:r>
          </w:p>
          <w:p w14:paraId="2091A080">
            <w:pPr>
              <w:widowControl/>
              <w:jc w:val="left"/>
              <w:rPr>
                <w:rFonts w:ascii="Times New Roman" w:hAnsi="Times New Roman"/>
                <w:kern w:val="0"/>
                <w:sz w:val="22"/>
              </w:rPr>
            </w:pPr>
            <w:r>
              <w:rPr>
                <w:rFonts w:ascii="Times New Roman" w:hAnsi="Times New Roman"/>
                <w:kern w:val="0"/>
                <w:sz w:val="22"/>
              </w:rPr>
              <w:t>2.组织调查</w:t>
            </w:r>
          </w:p>
        </w:tc>
        <w:tc>
          <w:tcPr>
            <w:tcW w:w="1209" w:type="dxa"/>
            <w:tcBorders>
              <w:top w:val="nil"/>
              <w:left w:val="nil"/>
              <w:bottom w:val="single" w:color="auto" w:sz="4" w:space="0"/>
              <w:right w:val="single" w:color="auto" w:sz="4" w:space="0"/>
            </w:tcBorders>
          </w:tcPr>
          <w:p w14:paraId="608BBB52">
            <w:pPr>
              <w:widowControl/>
              <w:jc w:val="left"/>
              <w:rPr>
                <w:rFonts w:ascii="Times New Roman" w:hAnsi="Times New Roman"/>
                <w:kern w:val="0"/>
                <w:sz w:val="22"/>
              </w:rPr>
            </w:pPr>
          </w:p>
        </w:tc>
      </w:tr>
      <w:tr w14:paraId="4EE9B813">
        <w:tblPrEx>
          <w:tblCellMar>
            <w:top w:w="0" w:type="dxa"/>
            <w:left w:w="108" w:type="dxa"/>
            <w:bottom w:w="0" w:type="dxa"/>
            <w:right w:w="108" w:type="dxa"/>
          </w:tblCellMar>
        </w:tblPrEx>
        <w:trPr>
          <w:trHeight w:val="1008" w:hRule="atLeast"/>
        </w:trPr>
        <w:tc>
          <w:tcPr>
            <w:tcW w:w="1217" w:type="dxa"/>
            <w:vMerge w:val="continue"/>
            <w:tcBorders>
              <w:left w:val="single" w:color="auto" w:sz="4" w:space="0"/>
              <w:bottom w:val="single" w:color="auto" w:sz="4" w:space="0"/>
              <w:right w:val="single" w:color="auto" w:sz="4" w:space="0"/>
            </w:tcBorders>
            <w:vAlign w:val="center"/>
          </w:tcPr>
          <w:p w14:paraId="22519FF4">
            <w:pPr>
              <w:widowControl/>
              <w:jc w:val="left"/>
              <w:rPr>
                <w:rFonts w:ascii="Times New Roman" w:hAnsi="Times New Roman"/>
                <w:kern w:val="0"/>
                <w:sz w:val="22"/>
              </w:rPr>
            </w:pPr>
          </w:p>
        </w:tc>
        <w:tc>
          <w:tcPr>
            <w:tcW w:w="2268" w:type="dxa"/>
            <w:gridSpan w:val="2"/>
            <w:tcBorders>
              <w:top w:val="nil"/>
              <w:left w:val="nil"/>
              <w:bottom w:val="single" w:color="auto" w:sz="4" w:space="0"/>
              <w:right w:val="single" w:color="auto" w:sz="4" w:space="0"/>
            </w:tcBorders>
            <w:noWrap/>
            <w:vAlign w:val="center"/>
          </w:tcPr>
          <w:p w14:paraId="12331869">
            <w:pPr>
              <w:widowControl/>
              <w:jc w:val="left"/>
              <w:rPr>
                <w:rFonts w:ascii="Times New Roman" w:hAnsi="Times New Roman"/>
                <w:kern w:val="0"/>
                <w:sz w:val="22"/>
              </w:rPr>
            </w:pPr>
            <w:r>
              <w:rPr>
                <w:rFonts w:ascii="Times New Roman" w:hAnsi="Times New Roman"/>
                <w:kern w:val="0"/>
                <w:sz w:val="22"/>
              </w:rPr>
              <w:t>遵纪守法（10分）</w:t>
            </w:r>
          </w:p>
        </w:tc>
        <w:tc>
          <w:tcPr>
            <w:tcW w:w="3969" w:type="dxa"/>
            <w:tcBorders>
              <w:top w:val="nil"/>
              <w:left w:val="nil"/>
              <w:bottom w:val="single" w:color="auto" w:sz="4" w:space="0"/>
              <w:right w:val="single" w:color="auto" w:sz="4" w:space="0"/>
            </w:tcBorders>
            <w:vAlign w:val="center"/>
          </w:tcPr>
          <w:p w14:paraId="0AAE869A">
            <w:pPr>
              <w:widowControl/>
              <w:jc w:val="left"/>
              <w:rPr>
                <w:rFonts w:ascii="Times New Roman" w:hAnsi="Times New Roman"/>
                <w:kern w:val="0"/>
                <w:sz w:val="22"/>
              </w:rPr>
            </w:pPr>
            <w:r>
              <w:rPr>
                <w:rFonts w:ascii="Times New Roman" w:hAnsi="Times New Roman"/>
                <w:kern w:val="0"/>
                <w:sz w:val="22"/>
              </w:rPr>
              <w:t>本人及其所领导的企业无违法违规行为，本人未成为失信被执行人，企业未因不履行合同约定等原因在重大或系列诉讼中败诉或受到惩处。</w:t>
            </w:r>
          </w:p>
        </w:tc>
        <w:tc>
          <w:tcPr>
            <w:tcW w:w="2977" w:type="dxa"/>
            <w:tcBorders>
              <w:top w:val="nil"/>
              <w:left w:val="nil"/>
              <w:bottom w:val="single" w:color="auto" w:sz="4" w:space="0"/>
              <w:right w:val="single" w:color="auto" w:sz="4" w:space="0"/>
            </w:tcBorders>
            <w:vAlign w:val="center"/>
          </w:tcPr>
          <w:p w14:paraId="37CB7615">
            <w:pPr>
              <w:widowControl/>
              <w:jc w:val="left"/>
              <w:rPr>
                <w:rFonts w:ascii="Times New Roman" w:hAnsi="Times New Roman"/>
                <w:kern w:val="0"/>
                <w:szCs w:val="21"/>
              </w:rPr>
            </w:pPr>
            <w:r>
              <w:rPr>
                <w:rFonts w:ascii="Times New Roman" w:hAnsi="Times New Roman"/>
                <w:kern w:val="0"/>
                <w:szCs w:val="21"/>
              </w:rPr>
              <w:t>符合条件得满分；本人及其所领导的企业近3年有违法违规受到处分的，或</w:t>
            </w:r>
            <w:r>
              <w:rPr>
                <w:rFonts w:ascii="Times New Roman" w:hAnsi="Times New Roman"/>
                <w:kern w:val="0"/>
                <w:sz w:val="22"/>
              </w:rPr>
              <w:t>本人成为失信被执行人，或企业因不履行合同约定等原因在重大或系列诉讼中败诉或受到惩处的</w:t>
            </w:r>
            <w:r>
              <w:rPr>
                <w:rFonts w:ascii="Times New Roman" w:hAnsi="Times New Roman"/>
                <w:kern w:val="0"/>
                <w:szCs w:val="21"/>
              </w:rPr>
              <w:t>本项不得分；有触犯党纪国法的，一票否决。</w:t>
            </w:r>
          </w:p>
        </w:tc>
        <w:tc>
          <w:tcPr>
            <w:tcW w:w="1701" w:type="dxa"/>
            <w:tcBorders>
              <w:top w:val="nil"/>
              <w:left w:val="nil"/>
              <w:bottom w:val="single" w:color="auto" w:sz="4" w:space="0"/>
              <w:right w:val="single" w:color="auto" w:sz="4" w:space="0"/>
            </w:tcBorders>
            <w:vAlign w:val="center"/>
          </w:tcPr>
          <w:p w14:paraId="1A2E8776">
            <w:pPr>
              <w:widowControl/>
              <w:jc w:val="left"/>
              <w:rPr>
                <w:rFonts w:ascii="Times New Roman" w:hAnsi="Times New Roman"/>
                <w:kern w:val="0"/>
                <w:sz w:val="22"/>
              </w:rPr>
            </w:pPr>
            <w:r>
              <w:rPr>
                <w:rFonts w:ascii="Times New Roman" w:hAnsi="Times New Roman"/>
                <w:kern w:val="0"/>
                <w:sz w:val="22"/>
              </w:rPr>
              <w:t>同上</w:t>
            </w:r>
          </w:p>
        </w:tc>
        <w:tc>
          <w:tcPr>
            <w:tcW w:w="1209" w:type="dxa"/>
            <w:tcBorders>
              <w:top w:val="nil"/>
              <w:left w:val="nil"/>
              <w:bottom w:val="single" w:color="auto" w:sz="4" w:space="0"/>
              <w:right w:val="single" w:color="auto" w:sz="4" w:space="0"/>
            </w:tcBorders>
          </w:tcPr>
          <w:p w14:paraId="36E620B5">
            <w:pPr>
              <w:widowControl/>
              <w:jc w:val="left"/>
              <w:rPr>
                <w:rFonts w:ascii="Times New Roman" w:hAnsi="Times New Roman"/>
                <w:kern w:val="0"/>
                <w:sz w:val="22"/>
              </w:rPr>
            </w:pPr>
          </w:p>
          <w:p w14:paraId="004A0EFF">
            <w:pPr>
              <w:widowControl/>
              <w:jc w:val="left"/>
              <w:rPr>
                <w:rFonts w:ascii="Times New Roman" w:hAnsi="Times New Roman"/>
                <w:kern w:val="0"/>
                <w:sz w:val="22"/>
              </w:rPr>
            </w:pPr>
          </w:p>
        </w:tc>
      </w:tr>
      <w:tr w14:paraId="45EB6DBF">
        <w:tblPrEx>
          <w:tblCellMar>
            <w:top w:w="0" w:type="dxa"/>
            <w:left w:w="108" w:type="dxa"/>
            <w:bottom w:w="0" w:type="dxa"/>
            <w:right w:w="108" w:type="dxa"/>
          </w:tblCellMar>
        </w:tblPrEx>
        <w:trPr>
          <w:trHeight w:val="600" w:hRule="atLeast"/>
        </w:trPr>
        <w:tc>
          <w:tcPr>
            <w:tcW w:w="1217" w:type="dxa"/>
            <w:vMerge w:val="restart"/>
            <w:tcBorders>
              <w:top w:val="single" w:color="auto" w:sz="4" w:space="0"/>
              <w:left w:val="single" w:color="auto" w:sz="4" w:space="0"/>
              <w:right w:val="single" w:color="auto" w:sz="4" w:space="0"/>
            </w:tcBorders>
            <w:noWrap/>
            <w:vAlign w:val="center"/>
          </w:tcPr>
          <w:p w14:paraId="6F71B4F7">
            <w:pPr>
              <w:widowControl/>
              <w:rPr>
                <w:rFonts w:ascii="Times New Roman" w:hAnsi="Times New Roman"/>
                <w:kern w:val="0"/>
                <w:sz w:val="22"/>
              </w:rPr>
            </w:pPr>
            <w:r>
              <w:rPr>
                <w:rFonts w:ascii="Times New Roman" w:hAnsi="Times New Roman"/>
                <w:kern w:val="0"/>
                <w:sz w:val="22"/>
              </w:rPr>
              <w:t>经济业绩</w:t>
            </w:r>
          </w:p>
          <w:p w14:paraId="577ADF5D">
            <w:pPr>
              <w:widowControl/>
              <w:rPr>
                <w:rFonts w:ascii="Times New Roman" w:hAnsi="Times New Roman"/>
                <w:kern w:val="0"/>
                <w:sz w:val="22"/>
              </w:rPr>
            </w:pPr>
            <w:r>
              <w:rPr>
                <w:rFonts w:ascii="Times New Roman" w:hAnsi="Times New Roman"/>
                <w:kern w:val="0"/>
                <w:sz w:val="22"/>
              </w:rPr>
              <w:t>（45分）</w:t>
            </w:r>
          </w:p>
        </w:tc>
        <w:tc>
          <w:tcPr>
            <w:tcW w:w="2268" w:type="dxa"/>
            <w:gridSpan w:val="2"/>
            <w:tcBorders>
              <w:top w:val="single" w:color="auto" w:sz="4" w:space="0"/>
              <w:left w:val="nil"/>
              <w:bottom w:val="single" w:color="auto" w:sz="4" w:space="0"/>
              <w:right w:val="single" w:color="auto" w:sz="4" w:space="0"/>
            </w:tcBorders>
            <w:noWrap/>
            <w:vAlign w:val="center"/>
          </w:tcPr>
          <w:p w14:paraId="655AFB96">
            <w:pPr>
              <w:widowControl/>
              <w:jc w:val="left"/>
              <w:rPr>
                <w:rFonts w:ascii="Times New Roman" w:hAnsi="Times New Roman"/>
                <w:kern w:val="0"/>
                <w:sz w:val="22"/>
              </w:rPr>
            </w:pPr>
            <w:r>
              <w:rPr>
                <w:rFonts w:ascii="Times New Roman" w:hAnsi="Times New Roman"/>
                <w:kern w:val="0"/>
                <w:sz w:val="22"/>
              </w:rPr>
              <w:t>企业经营业绩突出（25分）</w:t>
            </w:r>
          </w:p>
        </w:tc>
        <w:tc>
          <w:tcPr>
            <w:tcW w:w="3969" w:type="dxa"/>
            <w:tcBorders>
              <w:top w:val="single" w:color="auto" w:sz="4" w:space="0"/>
              <w:left w:val="nil"/>
              <w:bottom w:val="single" w:color="auto" w:sz="4" w:space="0"/>
              <w:right w:val="single" w:color="auto" w:sz="4" w:space="0"/>
            </w:tcBorders>
            <w:vAlign w:val="center"/>
          </w:tcPr>
          <w:p w14:paraId="10CC7B83">
            <w:pPr>
              <w:widowControl/>
              <w:jc w:val="left"/>
              <w:rPr>
                <w:rFonts w:ascii="Times New Roman" w:hAnsi="Times New Roman"/>
                <w:kern w:val="0"/>
                <w:sz w:val="22"/>
              </w:rPr>
            </w:pPr>
            <w:r>
              <w:rPr>
                <w:rFonts w:ascii="Times New Roman" w:hAnsi="Times New Roman"/>
                <w:kern w:val="0"/>
                <w:sz w:val="22"/>
              </w:rPr>
              <w:t>进入青岛收入或综合百强，或青岛纳税100强，或营业收入增长率、纳税额增长率、净利润增长率之一较往年有较大提升，并居行业前列。</w:t>
            </w:r>
          </w:p>
        </w:tc>
        <w:tc>
          <w:tcPr>
            <w:tcW w:w="2977" w:type="dxa"/>
            <w:tcBorders>
              <w:top w:val="single" w:color="auto" w:sz="4" w:space="0"/>
              <w:left w:val="nil"/>
              <w:bottom w:val="single" w:color="auto" w:sz="4" w:space="0"/>
              <w:right w:val="single" w:color="auto" w:sz="4" w:space="0"/>
            </w:tcBorders>
            <w:vAlign w:val="center"/>
          </w:tcPr>
          <w:p w14:paraId="13D4E772">
            <w:pPr>
              <w:widowControl/>
              <w:jc w:val="left"/>
              <w:rPr>
                <w:rFonts w:ascii="Times New Roman" w:hAnsi="Times New Roman"/>
                <w:kern w:val="0"/>
                <w:szCs w:val="21"/>
              </w:rPr>
            </w:pPr>
            <w:r>
              <w:rPr>
                <w:rFonts w:ascii="Times New Roman" w:hAnsi="Times New Roman"/>
                <w:kern w:val="0"/>
                <w:szCs w:val="21"/>
              </w:rPr>
              <w:t>业绩指标之一符合条件得满分，低于标准酌情扣分。</w:t>
            </w:r>
          </w:p>
        </w:tc>
        <w:tc>
          <w:tcPr>
            <w:tcW w:w="1701" w:type="dxa"/>
            <w:tcBorders>
              <w:top w:val="single" w:color="auto" w:sz="4" w:space="0"/>
              <w:left w:val="nil"/>
              <w:bottom w:val="single" w:color="auto" w:sz="4" w:space="0"/>
              <w:right w:val="single" w:color="auto" w:sz="4" w:space="0"/>
            </w:tcBorders>
            <w:vAlign w:val="center"/>
          </w:tcPr>
          <w:p w14:paraId="366772EA">
            <w:pPr>
              <w:widowControl/>
              <w:jc w:val="left"/>
              <w:rPr>
                <w:rFonts w:ascii="Times New Roman" w:hAnsi="Times New Roman"/>
                <w:kern w:val="0"/>
                <w:sz w:val="22"/>
              </w:rPr>
            </w:pPr>
            <w:r>
              <w:rPr>
                <w:rFonts w:ascii="Times New Roman" w:hAnsi="Times New Roman"/>
                <w:kern w:val="0"/>
                <w:sz w:val="22"/>
              </w:rPr>
              <w:t>1.申报材料</w:t>
            </w:r>
          </w:p>
          <w:p w14:paraId="18A9CECB">
            <w:pPr>
              <w:widowControl/>
              <w:jc w:val="left"/>
              <w:rPr>
                <w:rFonts w:ascii="Times New Roman" w:hAnsi="Times New Roman"/>
                <w:kern w:val="0"/>
                <w:sz w:val="22"/>
              </w:rPr>
            </w:pPr>
            <w:r>
              <w:rPr>
                <w:rFonts w:ascii="Times New Roman" w:hAnsi="Times New Roman"/>
                <w:kern w:val="0"/>
                <w:sz w:val="22"/>
              </w:rPr>
              <w:t>2.百强资料</w:t>
            </w:r>
          </w:p>
          <w:p w14:paraId="4FD884C3">
            <w:pPr>
              <w:widowControl/>
              <w:jc w:val="left"/>
              <w:rPr>
                <w:rFonts w:ascii="Times New Roman" w:hAnsi="Times New Roman"/>
                <w:kern w:val="0"/>
                <w:sz w:val="22"/>
              </w:rPr>
            </w:pPr>
            <w:r>
              <w:rPr>
                <w:rFonts w:ascii="Times New Roman" w:hAnsi="Times New Roman"/>
                <w:kern w:val="0"/>
                <w:sz w:val="22"/>
              </w:rPr>
              <w:t>3.审计报告与完税证明等</w:t>
            </w:r>
          </w:p>
        </w:tc>
        <w:tc>
          <w:tcPr>
            <w:tcW w:w="1209" w:type="dxa"/>
            <w:tcBorders>
              <w:top w:val="single" w:color="auto" w:sz="4" w:space="0"/>
              <w:left w:val="nil"/>
              <w:bottom w:val="single" w:color="auto" w:sz="4" w:space="0"/>
              <w:right w:val="single" w:color="auto" w:sz="4" w:space="0"/>
            </w:tcBorders>
          </w:tcPr>
          <w:p w14:paraId="214FFFFB">
            <w:pPr>
              <w:widowControl/>
              <w:jc w:val="left"/>
              <w:rPr>
                <w:rFonts w:ascii="Times New Roman" w:hAnsi="Times New Roman"/>
                <w:kern w:val="0"/>
                <w:sz w:val="22"/>
              </w:rPr>
            </w:pPr>
          </w:p>
        </w:tc>
      </w:tr>
      <w:tr w14:paraId="5BE16319">
        <w:tblPrEx>
          <w:tblCellMar>
            <w:top w:w="0" w:type="dxa"/>
            <w:left w:w="108" w:type="dxa"/>
            <w:bottom w:w="0" w:type="dxa"/>
            <w:right w:w="108" w:type="dxa"/>
          </w:tblCellMar>
        </w:tblPrEx>
        <w:trPr>
          <w:trHeight w:val="1080" w:hRule="atLeast"/>
        </w:trPr>
        <w:tc>
          <w:tcPr>
            <w:tcW w:w="1217" w:type="dxa"/>
            <w:vMerge w:val="continue"/>
            <w:tcBorders>
              <w:left w:val="single" w:color="auto" w:sz="4" w:space="0"/>
              <w:right w:val="single" w:color="auto" w:sz="4" w:space="0"/>
            </w:tcBorders>
            <w:vAlign w:val="center"/>
          </w:tcPr>
          <w:p w14:paraId="2CD531A1">
            <w:pPr>
              <w:widowControl/>
              <w:jc w:val="left"/>
              <w:rPr>
                <w:rFonts w:ascii="Times New Roman" w:hAnsi="Times New Roman"/>
                <w:kern w:val="0"/>
                <w:sz w:val="22"/>
              </w:rPr>
            </w:pPr>
          </w:p>
        </w:tc>
        <w:tc>
          <w:tcPr>
            <w:tcW w:w="2268" w:type="dxa"/>
            <w:gridSpan w:val="2"/>
            <w:tcBorders>
              <w:top w:val="nil"/>
              <w:left w:val="nil"/>
              <w:bottom w:val="single" w:color="auto" w:sz="4" w:space="0"/>
              <w:right w:val="single" w:color="auto" w:sz="4" w:space="0"/>
            </w:tcBorders>
            <w:noWrap/>
            <w:vAlign w:val="center"/>
          </w:tcPr>
          <w:p w14:paraId="68321ADF">
            <w:pPr>
              <w:widowControl/>
              <w:jc w:val="left"/>
              <w:rPr>
                <w:rFonts w:ascii="Times New Roman" w:hAnsi="Times New Roman"/>
                <w:kern w:val="0"/>
                <w:sz w:val="22"/>
              </w:rPr>
            </w:pPr>
            <w:r>
              <w:rPr>
                <w:rFonts w:ascii="Times New Roman" w:hAnsi="Times New Roman"/>
                <w:kern w:val="0"/>
                <w:sz w:val="22"/>
              </w:rPr>
              <w:t>企业资产质量良好（10分）</w:t>
            </w:r>
          </w:p>
        </w:tc>
        <w:tc>
          <w:tcPr>
            <w:tcW w:w="3969" w:type="dxa"/>
            <w:tcBorders>
              <w:top w:val="nil"/>
              <w:left w:val="nil"/>
              <w:bottom w:val="single" w:color="auto" w:sz="4" w:space="0"/>
              <w:right w:val="single" w:color="auto" w:sz="4" w:space="0"/>
            </w:tcBorders>
            <w:vAlign w:val="center"/>
          </w:tcPr>
          <w:p w14:paraId="504CF7D6">
            <w:pPr>
              <w:widowControl/>
              <w:jc w:val="left"/>
              <w:rPr>
                <w:rFonts w:ascii="Times New Roman" w:hAnsi="Times New Roman"/>
                <w:szCs w:val="21"/>
              </w:rPr>
            </w:pPr>
            <w:r>
              <w:rPr>
                <w:rFonts w:ascii="Times New Roman" w:hAnsi="Times New Roman"/>
                <w:szCs w:val="21"/>
              </w:rPr>
              <w:t>本年度资产负债率处于适宜水平（参考值40%-60%），总资产收益率较往年有较大幅度提升，并居行业前列。</w:t>
            </w:r>
          </w:p>
        </w:tc>
        <w:tc>
          <w:tcPr>
            <w:tcW w:w="2977" w:type="dxa"/>
            <w:tcBorders>
              <w:top w:val="nil"/>
              <w:left w:val="nil"/>
              <w:bottom w:val="single" w:color="auto" w:sz="4" w:space="0"/>
              <w:right w:val="single" w:color="auto" w:sz="4" w:space="0"/>
            </w:tcBorders>
            <w:vAlign w:val="center"/>
          </w:tcPr>
          <w:p w14:paraId="73281259">
            <w:pPr>
              <w:widowControl/>
              <w:jc w:val="left"/>
              <w:rPr>
                <w:rFonts w:ascii="Times New Roman" w:hAnsi="Times New Roman"/>
                <w:kern w:val="0"/>
                <w:szCs w:val="21"/>
              </w:rPr>
            </w:pPr>
            <w:r>
              <w:rPr>
                <w:rFonts w:ascii="Times New Roman" w:hAnsi="Times New Roman"/>
                <w:kern w:val="0"/>
                <w:szCs w:val="21"/>
              </w:rPr>
              <w:t>符合条件得满分，低于标准酌情扣分。</w:t>
            </w:r>
          </w:p>
        </w:tc>
        <w:tc>
          <w:tcPr>
            <w:tcW w:w="1701" w:type="dxa"/>
            <w:tcBorders>
              <w:top w:val="nil"/>
              <w:left w:val="nil"/>
              <w:bottom w:val="single" w:color="auto" w:sz="4" w:space="0"/>
              <w:right w:val="single" w:color="auto" w:sz="4" w:space="0"/>
            </w:tcBorders>
            <w:vAlign w:val="center"/>
          </w:tcPr>
          <w:p w14:paraId="5647299D">
            <w:pPr>
              <w:widowControl/>
              <w:jc w:val="left"/>
              <w:rPr>
                <w:rFonts w:ascii="Times New Roman" w:hAnsi="Times New Roman"/>
                <w:kern w:val="0"/>
                <w:sz w:val="22"/>
              </w:rPr>
            </w:pPr>
            <w:r>
              <w:rPr>
                <w:rFonts w:ascii="Times New Roman" w:hAnsi="Times New Roman"/>
                <w:kern w:val="0"/>
                <w:sz w:val="22"/>
              </w:rPr>
              <w:t>1.申报材料</w:t>
            </w:r>
          </w:p>
          <w:p w14:paraId="674FAD6E">
            <w:pPr>
              <w:widowControl/>
              <w:jc w:val="left"/>
              <w:rPr>
                <w:rFonts w:ascii="Times New Roman" w:hAnsi="Times New Roman"/>
                <w:kern w:val="0"/>
                <w:sz w:val="22"/>
              </w:rPr>
            </w:pPr>
            <w:r>
              <w:rPr>
                <w:rFonts w:ascii="Times New Roman" w:hAnsi="Times New Roman"/>
                <w:kern w:val="0"/>
                <w:sz w:val="22"/>
              </w:rPr>
              <w:t>2.审计报告</w:t>
            </w:r>
          </w:p>
        </w:tc>
        <w:tc>
          <w:tcPr>
            <w:tcW w:w="1209" w:type="dxa"/>
            <w:tcBorders>
              <w:top w:val="nil"/>
              <w:left w:val="nil"/>
              <w:bottom w:val="single" w:color="auto" w:sz="4" w:space="0"/>
              <w:right w:val="single" w:color="auto" w:sz="4" w:space="0"/>
            </w:tcBorders>
          </w:tcPr>
          <w:p w14:paraId="4F0B0DC3">
            <w:pPr>
              <w:widowControl/>
              <w:jc w:val="left"/>
              <w:rPr>
                <w:rFonts w:ascii="Times New Roman" w:hAnsi="Times New Roman"/>
                <w:kern w:val="0"/>
                <w:sz w:val="22"/>
              </w:rPr>
            </w:pPr>
          </w:p>
        </w:tc>
      </w:tr>
      <w:tr w14:paraId="2B14C314">
        <w:tblPrEx>
          <w:tblCellMar>
            <w:top w:w="0" w:type="dxa"/>
            <w:left w:w="108" w:type="dxa"/>
            <w:bottom w:w="0" w:type="dxa"/>
            <w:right w:w="108" w:type="dxa"/>
          </w:tblCellMar>
        </w:tblPrEx>
        <w:trPr>
          <w:trHeight w:val="910" w:hRule="atLeast"/>
        </w:trPr>
        <w:tc>
          <w:tcPr>
            <w:tcW w:w="1217" w:type="dxa"/>
            <w:vMerge w:val="continue"/>
            <w:tcBorders>
              <w:left w:val="single" w:color="auto" w:sz="4" w:space="0"/>
              <w:bottom w:val="single" w:color="auto" w:sz="4" w:space="0"/>
              <w:right w:val="single" w:color="auto" w:sz="4" w:space="0"/>
            </w:tcBorders>
            <w:vAlign w:val="center"/>
          </w:tcPr>
          <w:p w14:paraId="54BF4917">
            <w:pPr>
              <w:widowControl/>
              <w:jc w:val="left"/>
              <w:rPr>
                <w:rFonts w:ascii="Times New Roman" w:hAnsi="Times New Roman"/>
                <w:kern w:val="0"/>
                <w:sz w:val="22"/>
              </w:rPr>
            </w:pPr>
          </w:p>
        </w:tc>
        <w:tc>
          <w:tcPr>
            <w:tcW w:w="2268" w:type="dxa"/>
            <w:gridSpan w:val="2"/>
            <w:tcBorders>
              <w:top w:val="nil"/>
              <w:left w:val="nil"/>
              <w:bottom w:val="single" w:color="auto" w:sz="4" w:space="0"/>
              <w:right w:val="single" w:color="auto" w:sz="4" w:space="0"/>
            </w:tcBorders>
            <w:noWrap/>
            <w:vAlign w:val="center"/>
          </w:tcPr>
          <w:p w14:paraId="28C63FDE">
            <w:pPr>
              <w:widowControl/>
              <w:jc w:val="left"/>
              <w:rPr>
                <w:rFonts w:ascii="Times New Roman" w:hAnsi="Times New Roman"/>
                <w:kern w:val="0"/>
                <w:sz w:val="22"/>
              </w:rPr>
            </w:pPr>
            <w:r>
              <w:rPr>
                <w:rFonts w:ascii="Times New Roman" w:hAnsi="Times New Roman"/>
                <w:kern w:val="0"/>
                <w:sz w:val="22"/>
              </w:rPr>
              <w:t>企业成长性良好（10分）</w:t>
            </w:r>
          </w:p>
        </w:tc>
        <w:tc>
          <w:tcPr>
            <w:tcW w:w="3969" w:type="dxa"/>
            <w:tcBorders>
              <w:top w:val="nil"/>
              <w:left w:val="nil"/>
              <w:bottom w:val="single" w:color="auto" w:sz="4" w:space="0"/>
              <w:right w:val="single" w:color="auto" w:sz="4" w:space="0"/>
            </w:tcBorders>
            <w:vAlign w:val="center"/>
          </w:tcPr>
          <w:p w14:paraId="6C3B288F">
            <w:pPr>
              <w:widowControl/>
              <w:jc w:val="left"/>
              <w:rPr>
                <w:rFonts w:ascii="Times New Roman" w:hAnsi="Times New Roman"/>
                <w:szCs w:val="21"/>
              </w:rPr>
            </w:pPr>
            <w:r>
              <w:rPr>
                <w:rFonts w:ascii="Times New Roman" w:hAnsi="Times New Roman"/>
                <w:szCs w:val="21"/>
              </w:rPr>
              <w:t>企业营业收入三年复合增长</w:t>
            </w:r>
            <w:r>
              <w:rPr>
                <w:rFonts w:ascii="Times New Roman" w:hAnsi="Times New Roman"/>
                <w:kern w:val="0"/>
                <w:szCs w:val="21"/>
              </w:rPr>
              <w:t>率（（期末营业收入/ 期初营业收入）^（1/3）-1）较高，并居行业前列。</w:t>
            </w:r>
          </w:p>
        </w:tc>
        <w:tc>
          <w:tcPr>
            <w:tcW w:w="2977" w:type="dxa"/>
            <w:tcBorders>
              <w:top w:val="nil"/>
              <w:left w:val="nil"/>
              <w:bottom w:val="single" w:color="auto" w:sz="4" w:space="0"/>
              <w:right w:val="single" w:color="auto" w:sz="4" w:space="0"/>
            </w:tcBorders>
            <w:vAlign w:val="center"/>
          </w:tcPr>
          <w:p w14:paraId="1AB70775">
            <w:pPr>
              <w:widowControl/>
              <w:jc w:val="left"/>
              <w:rPr>
                <w:rFonts w:ascii="Times New Roman" w:hAnsi="Times New Roman"/>
                <w:kern w:val="0"/>
                <w:szCs w:val="21"/>
              </w:rPr>
            </w:pPr>
            <w:r>
              <w:rPr>
                <w:rFonts w:ascii="Times New Roman" w:hAnsi="Times New Roman"/>
                <w:kern w:val="0"/>
                <w:szCs w:val="21"/>
              </w:rPr>
              <w:t>符合条件得满分，低于标准酌情扣分。</w:t>
            </w:r>
          </w:p>
        </w:tc>
        <w:tc>
          <w:tcPr>
            <w:tcW w:w="1701" w:type="dxa"/>
            <w:tcBorders>
              <w:top w:val="nil"/>
              <w:left w:val="nil"/>
              <w:bottom w:val="single" w:color="auto" w:sz="4" w:space="0"/>
              <w:right w:val="single" w:color="auto" w:sz="4" w:space="0"/>
            </w:tcBorders>
            <w:vAlign w:val="center"/>
          </w:tcPr>
          <w:p w14:paraId="43084D4B">
            <w:pPr>
              <w:widowControl/>
              <w:jc w:val="left"/>
              <w:rPr>
                <w:rFonts w:ascii="Times New Roman" w:hAnsi="Times New Roman"/>
                <w:kern w:val="0"/>
                <w:sz w:val="22"/>
              </w:rPr>
            </w:pPr>
            <w:r>
              <w:rPr>
                <w:rFonts w:ascii="Times New Roman" w:hAnsi="Times New Roman"/>
                <w:kern w:val="0"/>
                <w:sz w:val="22"/>
              </w:rPr>
              <w:t>1.申报材料</w:t>
            </w:r>
          </w:p>
          <w:p w14:paraId="24C85DED">
            <w:pPr>
              <w:widowControl/>
              <w:jc w:val="left"/>
              <w:rPr>
                <w:rFonts w:ascii="Times New Roman" w:hAnsi="Times New Roman"/>
                <w:kern w:val="0"/>
                <w:sz w:val="22"/>
              </w:rPr>
            </w:pPr>
            <w:r>
              <w:rPr>
                <w:rFonts w:ascii="Times New Roman" w:hAnsi="Times New Roman"/>
                <w:kern w:val="0"/>
                <w:sz w:val="22"/>
              </w:rPr>
              <w:t>2.审计报告</w:t>
            </w:r>
          </w:p>
        </w:tc>
        <w:tc>
          <w:tcPr>
            <w:tcW w:w="1209" w:type="dxa"/>
            <w:tcBorders>
              <w:top w:val="nil"/>
              <w:left w:val="nil"/>
              <w:bottom w:val="single" w:color="auto" w:sz="4" w:space="0"/>
              <w:right w:val="single" w:color="auto" w:sz="4" w:space="0"/>
            </w:tcBorders>
          </w:tcPr>
          <w:p w14:paraId="0B72EA34">
            <w:pPr>
              <w:widowControl/>
              <w:jc w:val="left"/>
              <w:rPr>
                <w:rFonts w:ascii="Times New Roman" w:hAnsi="Times New Roman"/>
                <w:kern w:val="0"/>
                <w:sz w:val="22"/>
              </w:rPr>
            </w:pPr>
          </w:p>
        </w:tc>
      </w:tr>
      <w:tr w14:paraId="055CD3F7">
        <w:tblPrEx>
          <w:tblCellMar>
            <w:top w:w="0" w:type="dxa"/>
            <w:left w:w="108" w:type="dxa"/>
            <w:bottom w:w="0" w:type="dxa"/>
            <w:right w:w="108" w:type="dxa"/>
          </w:tblCellMar>
        </w:tblPrEx>
        <w:trPr>
          <w:trHeight w:val="550" w:hRule="atLeast"/>
        </w:trPr>
        <w:tc>
          <w:tcPr>
            <w:tcW w:w="1217" w:type="dxa"/>
            <w:vMerge w:val="restart"/>
            <w:tcBorders>
              <w:top w:val="single" w:color="auto" w:sz="4" w:space="0"/>
              <w:left w:val="single" w:color="auto" w:sz="4" w:space="0"/>
              <w:right w:val="single" w:color="auto" w:sz="4" w:space="0"/>
            </w:tcBorders>
            <w:vAlign w:val="center"/>
          </w:tcPr>
          <w:p w14:paraId="49D43E79">
            <w:pPr>
              <w:widowControl/>
              <w:jc w:val="left"/>
              <w:rPr>
                <w:rFonts w:ascii="Times New Roman" w:hAnsi="Times New Roman"/>
                <w:kern w:val="0"/>
                <w:sz w:val="22"/>
              </w:rPr>
            </w:pPr>
            <w:r>
              <w:rPr>
                <w:rFonts w:ascii="Times New Roman" w:hAnsi="Times New Roman"/>
                <w:kern w:val="0"/>
                <w:sz w:val="22"/>
              </w:rPr>
              <w:t>社会责任感（15分）</w:t>
            </w:r>
          </w:p>
        </w:tc>
        <w:tc>
          <w:tcPr>
            <w:tcW w:w="2268" w:type="dxa"/>
            <w:gridSpan w:val="2"/>
            <w:tcBorders>
              <w:top w:val="single" w:color="auto" w:sz="4" w:space="0"/>
              <w:left w:val="nil"/>
              <w:bottom w:val="single" w:color="auto" w:sz="4" w:space="0"/>
              <w:right w:val="single" w:color="auto" w:sz="4" w:space="0"/>
            </w:tcBorders>
            <w:noWrap/>
            <w:vAlign w:val="center"/>
          </w:tcPr>
          <w:p w14:paraId="22FFF55C">
            <w:pPr>
              <w:widowControl/>
              <w:jc w:val="left"/>
              <w:rPr>
                <w:rFonts w:ascii="Times New Roman" w:hAnsi="Times New Roman"/>
                <w:kern w:val="0"/>
                <w:sz w:val="22"/>
              </w:rPr>
            </w:pPr>
            <w:r>
              <w:rPr>
                <w:rFonts w:ascii="Times New Roman" w:hAnsi="Times New Roman"/>
                <w:kern w:val="0"/>
                <w:sz w:val="22"/>
              </w:rPr>
              <w:t>积极参加和支持公益慈善活动</w:t>
            </w:r>
          </w:p>
          <w:p w14:paraId="39D3F362">
            <w:pPr>
              <w:widowControl/>
              <w:jc w:val="left"/>
              <w:rPr>
                <w:rFonts w:ascii="Times New Roman" w:hAnsi="Times New Roman"/>
                <w:kern w:val="0"/>
                <w:sz w:val="22"/>
              </w:rPr>
            </w:pPr>
            <w:r>
              <w:rPr>
                <w:rFonts w:ascii="Times New Roman" w:hAnsi="Times New Roman"/>
                <w:kern w:val="0"/>
                <w:sz w:val="22"/>
              </w:rPr>
              <w:t>（5分）</w:t>
            </w:r>
          </w:p>
        </w:tc>
        <w:tc>
          <w:tcPr>
            <w:tcW w:w="3969" w:type="dxa"/>
            <w:tcBorders>
              <w:top w:val="single" w:color="auto" w:sz="4" w:space="0"/>
              <w:left w:val="nil"/>
              <w:bottom w:val="single" w:color="auto" w:sz="4" w:space="0"/>
              <w:right w:val="single" w:color="auto" w:sz="4" w:space="0"/>
            </w:tcBorders>
            <w:vAlign w:val="center"/>
          </w:tcPr>
          <w:p w14:paraId="005628EE">
            <w:pPr>
              <w:widowControl/>
              <w:jc w:val="left"/>
              <w:rPr>
                <w:rFonts w:ascii="Times New Roman" w:hAnsi="Times New Roman"/>
                <w:szCs w:val="21"/>
              </w:rPr>
            </w:pPr>
            <w:r>
              <w:rPr>
                <w:rFonts w:ascii="Times New Roman" w:hAnsi="Times New Roman"/>
                <w:szCs w:val="21"/>
              </w:rPr>
              <w:t>本人及其所领导的企业积极参加公益慈善活动，</w:t>
            </w:r>
            <w:r>
              <w:rPr>
                <w:rFonts w:ascii="Times New Roman" w:hAnsi="Times New Roman"/>
                <w:kern w:val="0"/>
                <w:szCs w:val="21"/>
              </w:rPr>
              <w:t>在关爱弱势群体、贫困地区、教育事业等方面捐赠和支持较多。</w:t>
            </w:r>
          </w:p>
        </w:tc>
        <w:tc>
          <w:tcPr>
            <w:tcW w:w="2977" w:type="dxa"/>
            <w:tcBorders>
              <w:top w:val="single" w:color="auto" w:sz="4" w:space="0"/>
              <w:left w:val="nil"/>
              <w:bottom w:val="single" w:color="auto" w:sz="4" w:space="0"/>
              <w:right w:val="single" w:color="auto" w:sz="4" w:space="0"/>
            </w:tcBorders>
            <w:vAlign w:val="center"/>
          </w:tcPr>
          <w:p w14:paraId="2AB55E84">
            <w:pPr>
              <w:widowControl/>
              <w:jc w:val="left"/>
              <w:rPr>
                <w:rFonts w:ascii="Times New Roman" w:hAnsi="Times New Roman"/>
                <w:kern w:val="0"/>
                <w:szCs w:val="21"/>
              </w:rPr>
            </w:pPr>
            <w:r>
              <w:rPr>
                <w:rFonts w:ascii="Times New Roman" w:hAnsi="Times New Roman"/>
                <w:kern w:val="0"/>
                <w:szCs w:val="21"/>
              </w:rPr>
              <w:t>符合条件得满分，其他酌情给分。</w:t>
            </w:r>
          </w:p>
          <w:p w14:paraId="4DD2E5B1">
            <w:pPr>
              <w:widowControl/>
              <w:jc w:val="left"/>
              <w:rPr>
                <w:rFonts w:ascii="Times New Roman" w:hAnsi="Times New Roman"/>
                <w:kern w:val="0"/>
                <w:szCs w:val="21"/>
              </w:rPr>
            </w:pPr>
          </w:p>
        </w:tc>
        <w:tc>
          <w:tcPr>
            <w:tcW w:w="1701" w:type="dxa"/>
            <w:tcBorders>
              <w:top w:val="single" w:color="auto" w:sz="4" w:space="0"/>
              <w:left w:val="nil"/>
              <w:bottom w:val="single" w:color="auto" w:sz="4" w:space="0"/>
              <w:right w:val="single" w:color="auto" w:sz="4" w:space="0"/>
            </w:tcBorders>
            <w:vAlign w:val="center"/>
          </w:tcPr>
          <w:p w14:paraId="5CFA2908">
            <w:pPr>
              <w:widowControl/>
              <w:jc w:val="left"/>
              <w:rPr>
                <w:rFonts w:ascii="Times New Roman" w:hAnsi="Times New Roman"/>
                <w:kern w:val="0"/>
                <w:szCs w:val="21"/>
              </w:rPr>
            </w:pPr>
            <w:r>
              <w:rPr>
                <w:rFonts w:ascii="Times New Roman" w:hAnsi="Times New Roman"/>
                <w:kern w:val="0"/>
                <w:szCs w:val="21"/>
              </w:rPr>
              <w:t>1.捐赠证书等证明材料</w:t>
            </w:r>
          </w:p>
          <w:p w14:paraId="628E50E0">
            <w:pPr>
              <w:widowControl/>
              <w:jc w:val="left"/>
              <w:rPr>
                <w:rFonts w:ascii="Times New Roman" w:hAnsi="Times New Roman"/>
                <w:kern w:val="0"/>
                <w:szCs w:val="21"/>
              </w:rPr>
            </w:pPr>
            <w:r>
              <w:rPr>
                <w:rFonts w:ascii="Times New Roman" w:hAnsi="Times New Roman"/>
                <w:kern w:val="0"/>
                <w:szCs w:val="21"/>
              </w:rPr>
              <w:t>2.组织调查</w:t>
            </w:r>
          </w:p>
        </w:tc>
        <w:tc>
          <w:tcPr>
            <w:tcW w:w="1209" w:type="dxa"/>
            <w:tcBorders>
              <w:top w:val="single" w:color="auto" w:sz="4" w:space="0"/>
              <w:left w:val="nil"/>
              <w:bottom w:val="single" w:color="auto" w:sz="4" w:space="0"/>
              <w:right w:val="single" w:color="auto" w:sz="4" w:space="0"/>
            </w:tcBorders>
          </w:tcPr>
          <w:p w14:paraId="66085AE1">
            <w:pPr>
              <w:widowControl/>
              <w:jc w:val="left"/>
              <w:rPr>
                <w:rFonts w:ascii="Times New Roman" w:hAnsi="Times New Roman"/>
                <w:kern w:val="0"/>
                <w:sz w:val="22"/>
              </w:rPr>
            </w:pPr>
          </w:p>
          <w:p w14:paraId="72D85986">
            <w:pPr>
              <w:widowControl/>
              <w:jc w:val="left"/>
              <w:rPr>
                <w:rFonts w:ascii="Times New Roman" w:hAnsi="Times New Roman"/>
                <w:kern w:val="0"/>
                <w:sz w:val="22"/>
              </w:rPr>
            </w:pPr>
          </w:p>
        </w:tc>
      </w:tr>
      <w:tr w14:paraId="0AEC0C47">
        <w:tblPrEx>
          <w:tblCellMar>
            <w:top w:w="0" w:type="dxa"/>
            <w:left w:w="108" w:type="dxa"/>
            <w:bottom w:w="0" w:type="dxa"/>
            <w:right w:w="108" w:type="dxa"/>
          </w:tblCellMar>
        </w:tblPrEx>
        <w:trPr>
          <w:trHeight w:val="1155" w:hRule="atLeast"/>
        </w:trPr>
        <w:tc>
          <w:tcPr>
            <w:tcW w:w="1217" w:type="dxa"/>
            <w:vMerge w:val="continue"/>
            <w:tcBorders>
              <w:left w:val="single" w:color="auto" w:sz="4" w:space="0"/>
              <w:right w:val="single" w:color="auto" w:sz="4" w:space="0"/>
            </w:tcBorders>
            <w:vAlign w:val="center"/>
          </w:tcPr>
          <w:p w14:paraId="6A039B19">
            <w:pPr>
              <w:widowControl/>
              <w:jc w:val="left"/>
              <w:rPr>
                <w:rFonts w:ascii="Times New Roman" w:hAnsi="Times New Roman"/>
                <w:kern w:val="0"/>
                <w:sz w:val="22"/>
              </w:rPr>
            </w:pPr>
          </w:p>
        </w:tc>
        <w:tc>
          <w:tcPr>
            <w:tcW w:w="2268" w:type="dxa"/>
            <w:gridSpan w:val="2"/>
            <w:tcBorders>
              <w:top w:val="single" w:color="auto" w:sz="4" w:space="0"/>
              <w:left w:val="nil"/>
              <w:bottom w:val="single" w:color="auto" w:sz="4" w:space="0"/>
              <w:right w:val="single" w:color="auto" w:sz="4" w:space="0"/>
            </w:tcBorders>
            <w:noWrap/>
            <w:vAlign w:val="center"/>
          </w:tcPr>
          <w:p w14:paraId="7EF83D9B">
            <w:pPr>
              <w:widowControl/>
              <w:jc w:val="left"/>
              <w:rPr>
                <w:rFonts w:ascii="Times New Roman" w:hAnsi="Times New Roman"/>
                <w:kern w:val="0"/>
                <w:sz w:val="22"/>
              </w:rPr>
            </w:pPr>
            <w:r>
              <w:rPr>
                <w:rFonts w:ascii="Times New Roman" w:hAnsi="Times New Roman"/>
                <w:kern w:val="0"/>
                <w:sz w:val="22"/>
              </w:rPr>
              <w:t>员工关爱与社会公正（5分）</w:t>
            </w:r>
          </w:p>
          <w:p w14:paraId="13835767">
            <w:pPr>
              <w:jc w:val="left"/>
              <w:rPr>
                <w:rFonts w:ascii="Times New Roman" w:hAnsi="Times New Roman"/>
                <w:kern w:val="0"/>
                <w:sz w:val="22"/>
              </w:rPr>
            </w:pPr>
          </w:p>
        </w:tc>
        <w:tc>
          <w:tcPr>
            <w:tcW w:w="3969" w:type="dxa"/>
            <w:tcBorders>
              <w:top w:val="single" w:color="auto" w:sz="4" w:space="0"/>
              <w:left w:val="nil"/>
              <w:bottom w:val="single" w:color="auto" w:sz="4" w:space="0"/>
              <w:right w:val="single" w:color="auto" w:sz="4" w:space="0"/>
            </w:tcBorders>
            <w:vAlign w:val="center"/>
          </w:tcPr>
          <w:p w14:paraId="46281B54">
            <w:pPr>
              <w:jc w:val="left"/>
              <w:rPr>
                <w:rFonts w:ascii="Times New Roman" w:hAnsi="Times New Roman"/>
                <w:kern w:val="0"/>
                <w:szCs w:val="21"/>
              </w:rPr>
            </w:pPr>
            <w:r>
              <w:rPr>
                <w:rFonts w:ascii="Times New Roman" w:hAnsi="Times New Roman"/>
                <w:kern w:val="0"/>
                <w:szCs w:val="21"/>
              </w:rPr>
              <w:t>依法向劳动者支付劳动报酬、福利费用并为其购买社会保险；</w:t>
            </w:r>
            <w:r>
              <w:rPr>
                <w:rFonts w:ascii="Times New Roman" w:hAnsi="Times New Roman"/>
                <w:szCs w:val="21"/>
              </w:rPr>
              <w:t>以实际行动关心员工成长与社会公正，近3年企业未发生群体性劳资冲突事件。</w:t>
            </w:r>
          </w:p>
        </w:tc>
        <w:tc>
          <w:tcPr>
            <w:tcW w:w="2977" w:type="dxa"/>
            <w:tcBorders>
              <w:top w:val="single" w:color="auto" w:sz="4" w:space="0"/>
              <w:left w:val="nil"/>
              <w:bottom w:val="single" w:color="auto" w:sz="4" w:space="0"/>
              <w:right w:val="single" w:color="auto" w:sz="4" w:space="0"/>
            </w:tcBorders>
            <w:vAlign w:val="center"/>
          </w:tcPr>
          <w:p w14:paraId="51BAC70D">
            <w:pPr>
              <w:widowControl/>
              <w:jc w:val="left"/>
              <w:rPr>
                <w:rFonts w:ascii="Times New Roman" w:hAnsi="Times New Roman"/>
                <w:kern w:val="0"/>
                <w:szCs w:val="21"/>
              </w:rPr>
            </w:pPr>
            <w:r>
              <w:rPr>
                <w:rFonts w:ascii="Times New Roman" w:hAnsi="Times New Roman"/>
                <w:kern w:val="0"/>
                <w:szCs w:val="21"/>
              </w:rPr>
              <w:t>符合条件得满分，其他酌情给分；</w:t>
            </w:r>
          </w:p>
          <w:p w14:paraId="58BBC975">
            <w:pPr>
              <w:jc w:val="left"/>
              <w:rPr>
                <w:rFonts w:ascii="Times New Roman" w:hAnsi="Times New Roman"/>
                <w:szCs w:val="21"/>
              </w:rPr>
            </w:pPr>
            <w:r>
              <w:rPr>
                <w:rFonts w:ascii="Times New Roman" w:hAnsi="Times New Roman"/>
                <w:szCs w:val="21"/>
              </w:rPr>
              <w:t>近3年企业发生群体性劳资冲突事件的本项不得分。</w:t>
            </w:r>
          </w:p>
        </w:tc>
        <w:tc>
          <w:tcPr>
            <w:tcW w:w="1701" w:type="dxa"/>
            <w:tcBorders>
              <w:top w:val="single" w:color="auto" w:sz="4" w:space="0"/>
              <w:left w:val="nil"/>
              <w:bottom w:val="single" w:color="auto" w:sz="4" w:space="0"/>
              <w:right w:val="single" w:color="auto" w:sz="4" w:space="0"/>
            </w:tcBorders>
            <w:vAlign w:val="center"/>
          </w:tcPr>
          <w:p w14:paraId="786A121D">
            <w:pPr>
              <w:widowControl/>
              <w:jc w:val="left"/>
              <w:rPr>
                <w:rFonts w:ascii="Times New Roman" w:hAnsi="Times New Roman"/>
                <w:kern w:val="0"/>
                <w:szCs w:val="21"/>
              </w:rPr>
            </w:pPr>
            <w:r>
              <w:rPr>
                <w:rFonts w:ascii="Times New Roman" w:hAnsi="Times New Roman"/>
                <w:kern w:val="0"/>
                <w:szCs w:val="21"/>
              </w:rPr>
              <w:t>1.第三方证明材料</w:t>
            </w:r>
          </w:p>
          <w:p w14:paraId="7B5E744E">
            <w:pPr>
              <w:jc w:val="left"/>
              <w:rPr>
                <w:rFonts w:ascii="Times New Roman" w:hAnsi="Times New Roman"/>
                <w:kern w:val="0"/>
                <w:szCs w:val="21"/>
              </w:rPr>
            </w:pPr>
            <w:r>
              <w:rPr>
                <w:rFonts w:ascii="Times New Roman" w:hAnsi="Times New Roman"/>
                <w:kern w:val="0"/>
                <w:szCs w:val="21"/>
              </w:rPr>
              <w:t>2.组织调查</w:t>
            </w:r>
          </w:p>
        </w:tc>
        <w:tc>
          <w:tcPr>
            <w:tcW w:w="1209" w:type="dxa"/>
            <w:tcBorders>
              <w:top w:val="single" w:color="auto" w:sz="4" w:space="0"/>
              <w:left w:val="nil"/>
              <w:bottom w:val="single" w:color="auto" w:sz="4" w:space="0"/>
              <w:right w:val="single" w:color="auto" w:sz="4" w:space="0"/>
            </w:tcBorders>
          </w:tcPr>
          <w:p w14:paraId="78E22317">
            <w:pPr>
              <w:jc w:val="left"/>
              <w:rPr>
                <w:rFonts w:ascii="Times New Roman" w:hAnsi="Times New Roman"/>
                <w:kern w:val="0"/>
                <w:sz w:val="22"/>
              </w:rPr>
            </w:pPr>
          </w:p>
        </w:tc>
      </w:tr>
      <w:tr w14:paraId="0BC2BA46">
        <w:tblPrEx>
          <w:tblCellMar>
            <w:top w:w="0" w:type="dxa"/>
            <w:left w:w="108" w:type="dxa"/>
            <w:bottom w:w="0" w:type="dxa"/>
            <w:right w:w="108" w:type="dxa"/>
          </w:tblCellMar>
        </w:tblPrEx>
        <w:trPr>
          <w:trHeight w:val="390" w:hRule="atLeast"/>
        </w:trPr>
        <w:tc>
          <w:tcPr>
            <w:tcW w:w="1217" w:type="dxa"/>
            <w:vMerge w:val="continue"/>
            <w:tcBorders>
              <w:left w:val="single" w:color="auto" w:sz="4" w:space="0"/>
              <w:bottom w:val="single" w:color="auto" w:sz="4" w:space="0"/>
              <w:right w:val="single" w:color="auto" w:sz="4" w:space="0"/>
            </w:tcBorders>
            <w:vAlign w:val="center"/>
          </w:tcPr>
          <w:p w14:paraId="054A966D">
            <w:pPr>
              <w:widowControl/>
              <w:jc w:val="left"/>
              <w:rPr>
                <w:rFonts w:ascii="Times New Roman" w:hAnsi="Times New Roman"/>
                <w:kern w:val="0"/>
                <w:sz w:val="22"/>
              </w:rPr>
            </w:pPr>
          </w:p>
        </w:tc>
        <w:tc>
          <w:tcPr>
            <w:tcW w:w="2268" w:type="dxa"/>
            <w:gridSpan w:val="2"/>
            <w:tcBorders>
              <w:top w:val="single" w:color="auto" w:sz="4" w:space="0"/>
              <w:left w:val="nil"/>
              <w:bottom w:val="single" w:color="auto" w:sz="4" w:space="0"/>
              <w:right w:val="single" w:color="auto" w:sz="4" w:space="0"/>
            </w:tcBorders>
            <w:noWrap/>
            <w:vAlign w:val="center"/>
          </w:tcPr>
          <w:p w14:paraId="74AB69F4">
            <w:pPr>
              <w:jc w:val="left"/>
              <w:rPr>
                <w:rFonts w:ascii="Times New Roman" w:hAnsi="Times New Roman"/>
                <w:kern w:val="0"/>
                <w:sz w:val="22"/>
              </w:rPr>
            </w:pPr>
            <w:r>
              <w:rPr>
                <w:rFonts w:ascii="Times New Roman" w:hAnsi="Times New Roman"/>
                <w:kern w:val="0"/>
                <w:sz w:val="22"/>
              </w:rPr>
              <w:t>安全与环保责任（5分）</w:t>
            </w:r>
          </w:p>
        </w:tc>
        <w:tc>
          <w:tcPr>
            <w:tcW w:w="3969" w:type="dxa"/>
            <w:tcBorders>
              <w:top w:val="single" w:color="auto" w:sz="4" w:space="0"/>
              <w:left w:val="nil"/>
              <w:bottom w:val="single" w:color="auto" w:sz="4" w:space="0"/>
              <w:right w:val="single" w:color="auto" w:sz="4" w:space="0"/>
            </w:tcBorders>
            <w:vAlign w:val="center"/>
          </w:tcPr>
          <w:p w14:paraId="7AE24397">
            <w:pPr>
              <w:jc w:val="left"/>
              <w:rPr>
                <w:rFonts w:ascii="Times New Roman" w:hAnsi="Times New Roman"/>
                <w:szCs w:val="21"/>
              </w:rPr>
            </w:pPr>
            <w:r>
              <w:rPr>
                <w:rFonts w:ascii="Times New Roman" w:hAnsi="Times New Roman"/>
                <w:szCs w:val="21"/>
              </w:rPr>
              <w:t>本人及其所领导的企业以实际行动投入环保事业，污染物排放、处理等符合法律法规要求，近三年企业未发生环境污染、质量、安全等重大事故。</w:t>
            </w:r>
          </w:p>
        </w:tc>
        <w:tc>
          <w:tcPr>
            <w:tcW w:w="2977" w:type="dxa"/>
            <w:tcBorders>
              <w:top w:val="single" w:color="auto" w:sz="4" w:space="0"/>
              <w:left w:val="nil"/>
              <w:bottom w:val="single" w:color="auto" w:sz="4" w:space="0"/>
              <w:right w:val="single" w:color="auto" w:sz="4" w:space="0"/>
            </w:tcBorders>
            <w:vAlign w:val="center"/>
          </w:tcPr>
          <w:p w14:paraId="13F083AD">
            <w:pPr>
              <w:jc w:val="left"/>
              <w:rPr>
                <w:rFonts w:ascii="Times New Roman" w:hAnsi="Times New Roman"/>
                <w:kern w:val="0"/>
                <w:szCs w:val="21"/>
              </w:rPr>
            </w:pPr>
            <w:r>
              <w:rPr>
                <w:rFonts w:ascii="Times New Roman" w:hAnsi="Times New Roman"/>
                <w:kern w:val="0"/>
                <w:szCs w:val="21"/>
              </w:rPr>
              <w:t>符合条件得满分；所领导企业近三年受到</w:t>
            </w:r>
            <w:r>
              <w:rPr>
                <w:rFonts w:ascii="Times New Roman" w:hAnsi="Times New Roman"/>
                <w:szCs w:val="21"/>
              </w:rPr>
              <w:t>环境污染处罚的或发生环境污染、质量、安全等重大事故的</w:t>
            </w:r>
            <w:r>
              <w:rPr>
                <w:rFonts w:ascii="Times New Roman" w:hAnsi="Times New Roman"/>
                <w:kern w:val="0"/>
                <w:szCs w:val="21"/>
              </w:rPr>
              <w:t>，本项不得分。情节特别严重的一票否决。</w:t>
            </w:r>
          </w:p>
        </w:tc>
        <w:tc>
          <w:tcPr>
            <w:tcW w:w="1701" w:type="dxa"/>
            <w:tcBorders>
              <w:top w:val="single" w:color="auto" w:sz="4" w:space="0"/>
              <w:left w:val="nil"/>
              <w:bottom w:val="single" w:color="auto" w:sz="4" w:space="0"/>
              <w:right w:val="single" w:color="auto" w:sz="4" w:space="0"/>
            </w:tcBorders>
            <w:vAlign w:val="center"/>
          </w:tcPr>
          <w:p w14:paraId="288DD593">
            <w:pPr>
              <w:jc w:val="left"/>
              <w:rPr>
                <w:rFonts w:ascii="Times New Roman" w:hAnsi="Times New Roman"/>
                <w:kern w:val="0"/>
                <w:sz w:val="18"/>
                <w:szCs w:val="18"/>
              </w:rPr>
            </w:pPr>
            <w:r>
              <w:rPr>
                <w:rFonts w:ascii="Times New Roman" w:hAnsi="Times New Roman"/>
                <w:kern w:val="0"/>
                <w:sz w:val="18"/>
                <w:szCs w:val="18"/>
              </w:rPr>
              <w:t>1.</w:t>
            </w:r>
            <w:r>
              <w:rPr>
                <w:rFonts w:ascii="Times New Roman" w:hAnsi="Times New Roman"/>
                <w:sz w:val="18"/>
                <w:szCs w:val="18"/>
              </w:rPr>
              <w:t>企业</w:t>
            </w:r>
            <w:r>
              <w:rPr>
                <w:rFonts w:ascii="Times New Roman" w:hAnsi="Times New Roman"/>
                <w:kern w:val="0"/>
                <w:sz w:val="18"/>
                <w:szCs w:val="18"/>
              </w:rPr>
              <w:t>获</w:t>
            </w:r>
          </w:p>
          <w:p w14:paraId="6C016066">
            <w:pPr>
              <w:jc w:val="left"/>
              <w:rPr>
                <w:rFonts w:ascii="Times New Roman" w:hAnsi="Times New Roman"/>
                <w:kern w:val="0"/>
                <w:sz w:val="18"/>
                <w:szCs w:val="18"/>
              </w:rPr>
            </w:pPr>
            <w:r>
              <w:rPr>
                <w:rFonts w:ascii="Times New Roman" w:hAnsi="Times New Roman"/>
                <w:kern w:val="0"/>
                <w:sz w:val="18"/>
                <w:szCs w:val="18"/>
              </w:rPr>
              <w:t>ISO14001环境管理体系认证等第三方证明材料</w:t>
            </w:r>
          </w:p>
          <w:p w14:paraId="2E9EF9C3">
            <w:pPr>
              <w:jc w:val="left"/>
              <w:rPr>
                <w:rFonts w:ascii="Times New Roman" w:hAnsi="Times New Roman"/>
                <w:kern w:val="0"/>
                <w:sz w:val="18"/>
                <w:szCs w:val="18"/>
              </w:rPr>
            </w:pPr>
            <w:r>
              <w:rPr>
                <w:rFonts w:ascii="Times New Roman" w:hAnsi="Times New Roman"/>
                <w:kern w:val="0"/>
                <w:sz w:val="18"/>
                <w:szCs w:val="18"/>
              </w:rPr>
              <w:t>2.组织调查</w:t>
            </w:r>
          </w:p>
        </w:tc>
        <w:tc>
          <w:tcPr>
            <w:tcW w:w="1209" w:type="dxa"/>
            <w:tcBorders>
              <w:top w:val="single" w:color="auto" w:sz="4" w:space="0"/>
              <w:left w:val="nil"/>
              <w:bottom w:val="single" w:color="auto" w:sz="4" w:space="0"/>
              <w:right w:val="single" w:color="auto" w:sz="4" w:space="0"/>
            </w:tcBorders>
          </w:tcPr>
          <w:p w14:paraId="177DD61D">
            <w:pPr>
              <w:jc w:val="left"/>
              <w:rPr>
                <w:rFonts w:ascii="Times New Roman" w:hAnsi="Times New Roman"/>
                <w:kern w:val="0"/>
                <w:sz w:val="22"/>
              </w:rPr>
            </w:pPr>
          </w:p>
        </w:tc>
      </w:tr>
      <w:tr w14:paraId="3116DD8B">
        <w:tblPrEx>
          <w:tblCellMar>
            <w:top w:w="0" w:type="dxa"/>
            <w:left w:w="108" w:type="dxa"/>
            <w:bottom w:w="0" w:type="dxa"/>
            <w:right w:w="108" w:type="dxa"/>
          </w:tblCellMar>
        </w:tblPrEx>
        <w:trPr>
          <w:trHeight w:val="639" w:hRule="atLeast"/>
        </w:trPr>
        <w:tc>
          <w:tcPr>
            <w:tcW w:w="1217" w:type="dxa"/>
            <w:vMerge w:val="restart"/>
            <w:tcBorders>
              <w:top w:val="single" w:color="auto" w:sz="4" w:space="0"/>
              <w:left w:val="single" w:color="auto" w:sz="4" w:space="0"/>
              <w:right w:val="single" w:color="auto" w:sz="4" w:space="0"/>
            </w:tcBorders>
            <w:vAlign w:val="center"/>
          </w:tcPr>
          <w:p w14:paraId="4D6B971F">
            <w:pPr>
              <w:widowControl/>
              <w:jc w:val="left"/>
              <w:rPr>
                <w:rFonts w:ascii="Times New Roman" w:hAnsi="Times New Roman"/>
                <w:kern w:val="0"/>
                <w:sz w:val="22"/>
              </w:rPr>
            </w:pPr>
            <w:r>
              <w:rPr>
                <w:rFonts w:ascii="Times New Roman" w:hAnsi="Times New Roman"/>
                <w:kern w:val="0"/>
                <w:sz w:val="22"/>
              </w:rPr>
              <w:t>领导力、员工公认与社会影响（20分）</w:t>
            </w:r>
          </w:p>
        </w:tc>
        <w:tc>
          <w:tcPr>
            <w:tcW w:w="2268" w:type="dxa"/>
            <w:gridSpan w:val="2"/>
            <w:tcBorders>
              <w:top w:val="single" w:color="auto" w:sz="4" w:space="0"/>
              <w:left w:val="nil"/>
              <w:bottom w:val="single" w:color="auto" w:sz="4" w:space="0"/>
              <w:right w:val="single" w:color="auto" w:sz="4" w:space="0"/>
            </w:tcBorders>
            <w:noWrap/>
            <w:vAlign w:val="center"/>
          </w:tcPr>
          <w:p w14:paraId="2E80F95E">
            <w:pPr>
              <w:widowControl/>
              <w:jc w:val="left"/>
              <w:rPr>
                <w:rFonts w:ascii="Times New Roman" w:hAnsi="Times New Roman"/>
                <w:kern w:val="0"/>
                <w:sz w:val="22"/>
              </w:rPr>
            </w:pPr>
            <w:r>
              <w:rPr>
                <w:rFonts w:ascii="Times New Roman" w:hAnsi="Times New Roman"/>
                <w:kern w:val="0"/>
                <w:sz w:val="22"/>
              </w:rPr>
              <w:t>领导力（10分）</w:t>
            </w:r>
          </w:p>
        </w:tc>
        <w:tc>
          <w:tcPr>
            <w:tcW w:w="3969" w:type="dxa"/>
            <w:tcBorders>
              <w:top w:val="single" w:color="auto" w:sz="4" w:space="0"/>
              <w:left w:val="nil"/>
              <w:bottom w:val="single" w:color="auto" w:sz="4" w:space="0"/>
              <w:right w:val="single" w:color="auto" w:sz="4" w:space="0"/>
            </w:tcBorders>
            <w:vAlign w:val="center"/>
          </w:tcPr>
          <w:p w14:paraId="2531555D">
            <w:pPr>
              <w:widowControl/>
              <w:jc w:val="left"/>
              <w:rPr>
                <w:rFonts w:ascii="Times New Roman" w:hAnsi="Times New Roman"/>
                <w:kern w:val="0"/>
                <w:sz w:val="22"/>
              </w:rPr>
            </w:pPr>
            <w:r>
              <w:rPr>
                <w:rFonts w:ascii="Times New Roman" w:hAnsi="Times New Roman"/>
                <w:kern w:val="0"/>
                <w:sz w:val="22"/>
              </w:rPr>
              <w:t>具有</w:t>
            </w:r>
            <w:r>
              <w:rPr>
                <w:rFonts w:ascii="Times New Roman" w:hAnsi="Times New Roman"/>
                <w:szCs w:val="21"/>
              </w:rPr>
              <w:t>较强的战略决策能力和杰出的领导力，组织实施对全市或行业产业结构调整有重大影响的项目，引进国际重大合作项目，企业技术创新能力居国际或国内前列，在推动产业转型升级、发展和培育新质生产力等方面做出突出贡献。</w:t>
            </w:r>
          </w:p>
        </w:tc>
        <w:tc>
          <w:tcPr>
            <w:tcW w:w="2977" w:type="dxa"/>
            <w:tcBorders>
              <w:top w:val="single" w:color="auto" w:sz="4" w:space="0"/>
              <w:left w:val="nil"/>
              <w:bottom w:val="single" w:color="auto" w:sz="4" w:space="0"/>
              <w:right w:val="single" w:color="auto" w:sz="4" w:space="0"/>
            </w:tcBorders>
            <w:vAlign w:val="center"/>
          </w:tcPr>
          <w:p w14:paraId="09C21DF5">
            <w:pPr>
              <w:widowControl/>
              <w:jc w:val="left"/>
              <w:rPr>
                <w:rFonts w:ascii="Times New Roman" w:hAnsi="Times New Roman"/>
                <w:kern w:val="0"/>
                <w:szCs w:val="21"/>
              </w:rPr>
            </w:pPr>
            <w:r>
              <w:rPr>
                <w:rFonts w:ascii="Times New Roman" w:hAnsi="Times New Roman"/>
                <w:kern w:val="0"/>
                <w:szCs w:val="21"/>
              </w:rPr>
              <w:t>符合条件得满分，其他酌情给分。</w:t>
            </w:r>
          </w:p>
        </w:tc>
        <w:tc>
          <w:tcPr>
            <w:tcW w:w="1701" w:type="dxa"/>
            <w:tcBorders>
              <w:top w:val="single" w:color="auto" w:sz="4" w:space="0"/>
              <w:left w:val="nil"/>
              <w:bottom w:val="single" w:color="auto" w:sz="4" w:space="0"/>
              <w:right w:val="single" w:color="auto" w:sz="4" w:space="0"/>
            </w:tcBorders>
            <w:vAlign w:val="center"/>
          </w:tcPr>
          <w:p w14:paraId="50967F0E">
            <w:pPr>
              <w:widowControl/>
              <w:jc w:val="left"/>
              <w:rPr>
                <w:rFonts w:ascii="Times New Roman" w:hAnsi="Times New Roman"/>
                <w:kern w:val="0"/>
                <w:sz w:val="22"/>
              </w:rPr>
            </w:pPr>
            <w:r>
              <w:rPr>
                <w:rFonts w:ascii="Times New Roman" w:hAnsi="Times New Roman"/>
                <w:kern w:val="0"/>
                <w:sz w:val="22"/>
              </w:rPr>
              <w:t>1.申报材料</w:t>
            </w:r>
          </w:p>
          <w:p w14:paraId="07457FA8">
            <w:pPr>
              <w:widowControl/>
              <w:jc w:val="left"/>
              <w:rPr>
                <w:rFonts w:ascii="Times New Roman" w:hAnsi="Times New Roman"/>
                <w:kern w:val="0"/>
                <w:sz w:val="22"/>
              </w:rPr>
            </w:pPr>
            <w:r>
              <w:rPr>
                <w:rFonts w:ascii="Times New Roman" w:hAnsi="Times New Roman"/>
                <w:kern w:val="0"/>
                <w:sz w:val="22"/>
              </w:rPr>
              <w:t>2.组织调查</w:t>
            </w:r>
          </w:p>
        </w:tc>
        <w:tc>
          <w:tcPr>
            <w:tcW w:w="1209" w:type="dxa"/>
            <w:tcBorders>
              <w:top w:val="single" w:color="auto" w:sz="4" w:space="0"/>
              <w:left w:val="nil"/>
              <w:bottom w:val="single" w:color="auto" w:sz="4" w:space="0"/>
              <w:right w:val="single" w:color="auto" w:sz="4" w:space="0"/>
            </w:tcBorders>
          </w:tcPr>
          <w:p w14:paraId="6FBF60AD">
            <w:pPr>
              <w:widowControl/>
              <w:jc w:val="left"/>
              <w:rPr>
                <w:rFonts w:ascii="Times New Roman" w:hAnsi="Times New Roman"/>
                <w:kern w:val="0"/>
                <w:sz w:val="22"/>
              </w:rPr>
            </w:pPr>
          </w:p>
        </w:tc>
      </w:tr>
      <w:tr w14:paraId="0E80E0D8">
        <w:tblPrEx>
          <w:tblCellMar>
            <w:top w:w="0" w:type="dxa"/>
            <w:left w:w="108" w:type="dxa"/>
            <w:bottom w:w="0" w:type="dxa"/>
            <w:right w:w="108" w:type="dxa"/>
          </w:tblCellMar>
        </w:tblPrEx>
        <w:trPr>
          <w:trHeight w:val="240" w:hRule="atLeast"/>
        </w:trPr>
        <w:tc>
          <w:tcPr>
            <w:tcW w:w="1217" w:type="dxa"/>
            <w:vMerge w:val="continue"/>
            <w:tcBorders>
              <w:left w:val="single" w:color="auto" w:sz="4" w:space="0"/>
              <w:bottom w:val="single" w:color="auto" w:sz="4" w:space="0"/>
              <w:right w:val="single" w:color="auto" w:sz="4" w:space="0"/>
            </w:tcBorders>
            <w:vAlign w:val="center"/>
          </w:tcPr>
          <w:p w14:paraId="43006320">
            <w:pPr>
              <w:widowControl/>
              <w:jc w:val="left"/>
              <w:rPr>
                <w:rFonts w:ascii="Times New Roman" w:hAnsi="Times New Roman"/>
                <w:kern w:val="0"/>
                <w:sz w:val="22"/>
              </w:rPr>
            </w:pPr>
          </w:p>
        </w:tc>
        <w:tc>
          <w:tcPr>
            <w:tcW w:w="2268" w:type="dxa"/>
            <w:gridSpan w:val="2"/>
            <w:tcBorders>
              <w:top w:val="single" w:color="auto" w:sz="4" w:space="0"/>
              <w:left w:val="nil"/>
              <w:bottom w:val="single" w:color="auto" w:sz="4" w:space="0"/>
              <w:right w:val="single" w:color="auto" w:sz="4" w:space="0"/>
            </w:tcBorders>
            <w:noWrap/>
            <w:vAlign w:val="center"/>
          </w:tcPr>
          <w:p w14:paraId="4AAA84E5">
            <w:pPr>
              <w:widowControl/>
              <w:jc w:val="left"/>
              <w:rPr>
                <w:rFonts w:ascii="Times New Roman" w:hAnsi="Times New Roman"/>
                <w:kern w:val="0"/>
                <w:sz w:val="22"/>
              </w:rPr>
            </w:pPr>
            <w:r>
              <w:rPr>
                <w:rFonts w:ascii="Times New Roman" w:hAnsi="Times New Roman"/>
                <w:kern w:val="0"/>
                <w:sz w:val="22"/>
              </w:rPr>
              <w:t>员工公认与社会影响（10分）</w:t>
            </w:r>
          </w:p>
        </w:tc>
        <w:tc>
          <w:tcPr>
            <w:tcW w:w="3969" w:type="dxa"/>
            <w:tcBorders>
              <w:top w:val="single" w:color="auto" w:sz="4" w:space="0"/>
              <w:left w:val="nil"/>
              <w:bottom w:val="single" w:color="auto" w:sz="4" w:space="0"/>
              <w:right w:val="single" w:color="auto" w:sz="4" w:space="0"/>
            </w:tcBorders>
            <w:vAlign w:val="center"/>
          </w:tcPr>
          <w:p w14:paraId="318B0027">
            <w:pPr>
              <w:jc w:val="left"/>
              <w:rPr>
                <w:rFonts w:ascii="Times New Roman" w:hAnsi="Times New Roman"/>
                <w:szCs w:val="21"/>
              </w:rPr>
            </w:pPr>
            <w:r>
              <w:rPr>
                <w:rFonts w:ascii="Times New Roman" w:hAnsi="Times New Roman"/>
                <w:szCs w:val="21"/>
              </w:rPr>
              <w:t>社会知名度很高，单位绩效考核优秀，群众威信或满意度高，所领导企业具有较强的行业引领力。</w:t>
            </w:r>
          </w:p>
        </w:tc>
        <w:tc>
          <w:tcPr>
            <w:tcW w:w="2977" w:type="dxa"/>
            <w:tcBorders>
              <w:top w:val="single" w:color="auto" w:sz="4" w:space="0"/>
              <w:left w:val="nil"/>
              <w:bottom w:val="single" w:color="auto" w:sz="4" w:space="0"/>
              <w:right w:val="single" w:color="auto" w:sz="4" w:space="0"/>
            </w:tcBorders>
            <w:vAlign w:val="center"/>
          </w:tcPr>
          <w:p w14:paraId="4F2F0576">
            <w:pPr>
              <w:jc w:val="left"/>
              <w:rPr>
                <w:rFonts w:ascii="Times New Roman" w:hAnsi="Times New Roman"/>
                <w:kern w:val="0"/>
                <w:sz w:val="22"/>
              </w:rPr>
            </w:pPr>
            <w:r>
              <w:rPr>
                <w:rFonts w:ascii="Times New Roman" w:hAnsi="Times New Roman"/>
                <w:kern w:val="0"/>
                <w:sz w:val="22"/>
              </w:rPr>
              <w:t>通过社会调研掌握知名度和员工满意度情况很高者得满分，其他酌情给分。</w:t>
            </w:r>
          </w:p>
        </w:tc>
        <w:tc>
          <w:tcPr>
            <w:tcW w:w="1701" w:type="dxa"/>
            <w:tcBorders>
              <w:top w:val="single" w:color="auto" w:sz="4" w:space="0"/>
              <w:left w:val="nil"/>
              <w:bottom w:val="single" w:color="auto" w:sz="4" w:space="0"/>
              <w:right w:val="single" w:color="auto" w:sz="4" w:space="0"/>
            </w:tcBorders>
            <w:vAlign w:val="center"/>
          </w:tcPr>
          <w:p w14:paraId="319B74DB">
            <w:pPr>
              <w:jc w:val="left"/>
              <w:rPr>
                <w:rFonts w:ascii="Times New Roman" w:hAnsi="Times New Roman"/>
                <w:kern w:val="0"/>
                <w:sz w:val="22"/>
              </w:rPr>
            </w:pPr>
            <w:r>
              <w:rPr>
                <w:rFonts w:ascii="Times New Roman" w:hAnsi="Times New Roman"/>
                <w:kern w:val="0"/>
                <w:sz w:val="22"/>
              </w:rPr>
              <w:t>1.国内外行业组织兼职情况</w:t>
            </w:r>
          </w:p>
          <w:p w14:paraId="28420DC9">
            <w:pPr>
              <w:jc w:val="left"/>
              <w:rPr>
                <w:rFonts w:ascii="Times New Roman" w:hAnsi="Times New Roman"/>
                <w:kern w:val="0"/>
                <w:sz w:val="22"/>
              </w:rPr>
            </w:pPr>
            <w:r>
              <w:rPr>
                <w:rFonts w:ascii="Times New Roman" w:hAnsi="Times New Roman"/>
                <w:kern w:val="0"/>
                <w:sz w:val="22"/>
              </w:rPr>
              <w:t>2.社会调查</w:t>
            </w:r>
          </w:p>
          <w:p w14:paraId="0923B22E">
            <w:pPr>
              <w:jc w:val="left"/>
              <w:rPr>
                <w:rFonts w:ascii="Times New Roman" w:hAnsi="Times New Roman"/>
                <w:kern w:val="0"/>
                <w:sz w:val="22"/>
              </w:rPr>
            </w:pPr>
            <w:r>
              <w:rPr>
                <w:rFonts w:ascii="Times New Roman" w:hAnsi="Times New Roman"/>
                <w:kern w:val="0"/>
                <w:sz w:val="22"/>
              </w:rPr>
              <w:t>3.组织调查（考核表或测评表）</w:t>
            </w:r>
          </w:p>
        </w:tc>
        <w:tc>
          <w:tcPr>
            <w:tcW w:w="1209" w:type="dxa"/>
            <w:tcBorders>
              <w:top w:val="single" w:color="auto" w:sz="4" w:space="0"/>
              <w:left w:val="nil"/>
              <w:bottom w:val="single" w:color="auto" w:sz="4" w:space="0"/>
              <w:right w:val="single" w:color="auto" w:sz="4" w:space="0"/>
            </w:tcBorders>
          </w:tcPr>
          <w:p w14:paraId="7C72C052">
            <w:pPr>
              <w:widowControl/>
              <w:jc w:val="left"/>
              <w:rPr>
                <w:rFonts w:ascii="Times New Roman" w:hAnsi="Times New Roman"/>
                <w:kern w:val="0"/>
                <w:sz w:val="22"/>
              </w:rPr>
            </w:pPr>
          </w:p>
        </w:tc>
      </w:tr>
      <w:tr w14:paraId="69A4B5FC">
        <w:tblPrEx>
          <w:tblCellMar>
            <w:top w:w="0" w:type="dxa"/>
            <w:left w:w="108" w:type="dxa"/>
            <w:bottom w:w="0" w:type="dxa"/>
            <w:right w:w="108" w:type="dxa"/>
          </w:tblCellMar>
        </w:tblPrEx>
        <w:trPr>
          <w:trHeight w:val="810" w:hRule="atLeast"/>
        </w:trPr>
        <w:tc>
          <w:tcPr>
            <w:tcW w:w="2835" w:type="dxa"/>
            <w:gridSpan w:val="2"/>
            <w:tcBorders>
              <w:top w:val="nil"/>
              <w:left w:val="single" w:color="auto" w:sz="4" w:space="0"/>
              <w:bottom w:val="single" w:color="auto" w:sz="4" w:space="0"/>
              <w:right w:val="single" w:color="auto" w:sz="4" w:space="0"/>
            </w:tcBorders>
            <w:vAlign w:val="center"/>
          </w:tcPr>
          <w:p w14:paraId="5F0C1F3E">
            <w:pPr>
              <w:widowControl/>
              <w:jc w:val="center"/>
              <w:rPr>
                <w:rFonts w:ascii="Times New Roman" w:hAnsi="Times New Roman"/>
                <w:b/>
                <w:kern w:val="0"/>
                <w:sz w:val="22"/>
              </w:rPr>
            </w:pPr>
            <w:r>
              <w:rPr>
                <w:rFonts w:ascii="Times New Roman" w:hAnsi="Times New Roman"/>
                <w:b/>
                <w:kern w:val="0"/>
                <w:sz w:val="22"/>
              </w:rPr>
              <w:t>总体意见</w:t>
            </w:r>
          </w:p>
        </w:tc>
        <w:tc>
          <w:tcPr>
            <w:tcW w:w="7596" w:type="dxa"/>
            <w:gridSpan w:val="3"/>
            <w:tcBorders>
              <w:top w:val="nil"/>
              <w:left w:val="nil"/>
              <w:bottom w:val="single" w:color="auto" w:sz="4" w:space="0"/>
              <w:right w:val="single" w:color="auto" w:sz="4" w:space="0"/>
            </w:tcBorders>
            <w:vAlign w:val="center"/>
          </w:tcPr>
          <w:p w14:paraId="3C474B85">
            <w:pPr>
              <w:widowControl/>
              <w:jc w:val="left"/>
              <w:rPr>
                <w:rFonts w:ascii="Times New Roman" w:hAnsi="Times New Roman"/>
                <w:kern w:val="0"/>
                <w:sz w:val="22"/>
              </w:rPr>
            </w:pPr>
          </w:p>
        </w:tc>
        <w:tc>
          <w:tcPr>
            <w:tcW w:w="1701" w:type="dxa"/>
            <w:tcBorders>
              <w:top w:val="nil"/>
              <w:left w:val="nil"/>
              <w:bottom w:val="single" w:color="auto" w:sz="4" w:space="0"/>
              <w:right w:val="single" w:color="auto" w:sz="4" w:space="0"/>
            </w:tcBorders>
            <w:vAlign w:val="center"/>
          </w:tcPr>
          <w:p w14:paraId="122F2117">
            <w:pPr>
              <w:widowControl/>
              <w:jc w:val="center"/>
              <w:rPr>
                <w:rFonts w:ascii="Times New Roman" w:hAnsi="Times New Roman"/>
                <w:kern w:val="0"/>
                <w:sz w:val="22"/>
              </w:rPr>
            </w:pPr>
            <w:r>
              <w:rPr>
                <w:rFonts w:hint="eastAsia" w:ascii="Times New Roman" w:hAnsi="Times New Roman"/>
                <w:b/>
                <w:kern w:val="0"/>
                <w:sz w:val="22"/>
              </w:rPr>
              <w:t>得分合计</w:t>
            </w:r>
          </w:p>
        </w:tc>
        <w:tc>
          <w:tcPr>
            <w:tcW w:w="1209" w:type="dxa"/>
            <w:tcBorders>
              <w:top w:val="nil"/>
              <w:left w:val="nil"/>
              <w:bottom w:val="single" w:color="auto" w:sz="4" w:space="0"/>
              <w:right w:val="single" w:color="auto" w:sz="4" w:space="0"/>
            </w:tcBorders>
            <w:vAlign w:val="center"/>
          </w:tcPr>
          <w:p w14:paraId="1E5775B6">
            <w:pPr>
              <w:widowControl/>
              <w:jc w:val="left"/>
              <w:rPr>
                <w:rFonts w:ascii="Times New Roman" w:hAnsi="Times New Roman"/>
                <w:kern w:val="0"/>
                <w:sz w:val="22"/>
              </w:rPr>
            </w:pPr>
          </w:p>
        </w:tc>
      </w:tr>
    </w:tbl>
    <w:p w14:paraId="105AFF10">
      <w:pPr>
        <w:rPr>
          <w:rFonts w:ascii="Times New Roman" w:hAnsi="Times New Roman"/>
        </w:rPr>
      </w:pPr>
    </w:p>
    <w:p w14:paraId="1E9A3E6C">
      <w:pPr>
        <w:jc w:val="left"/>
        <w:rPr>
          <w:rFonts w:ascii="Times New Roman" w:hAnsi="Times New Roman"/>
        </w:rPr>
      </w:pPr>
      <w:r>
        <w:br w:type="page"/>
      </w:r>
      <w:r>
        <w:rPr>
          <w:rFonts w:ascii="Times New Roman" w:hAnsi="Times New Roman"/>
          <w:sz w:val="28"/>
          <w:szCs w:val="28"/>
        </w:rPr>
        <w:t>附件二</w:t>
      </w:r>
    </w:p>
    <w:p w14:paraId="48B7F013">
      <w:pPr>
        <w:jc w:val="center"/>
        <w:rPr>
          <w:rFonts w:ascii="Times New Roman" w:hAnsi="Times New Roman" w:eastAsia="方正小标宋简体"/>
          <w:sz w:val="44"/>
          <w:szCs w:val="44"/>
        </w:rPr>
      </w:pPr>
      <w:r>
        <w:rPr>
          <w:rFonts w:ascii="Times New Roman" w:hAnsi="Times New Roman" w:eastAsia="方正小标宋简体"/>
          <w:sz w:val="44"/>
          <w:szCs w:val="44"/>
        </w:rPr>
        <w:t>2024年度青岛经济新锐人物审查计分表</w:t>
      </w:r>
    </w:p>
    <w:tbl>
      <w:tblPr>
        <w:tblStyle w:val="5"/>
        <w:tblW w:w="5233" w:type="pct"/>
        <w:tblInd w:w="-655" w:type="dxa"/>
        <w:tblLayout w:type="fixed"/>
        <w:tblCellMar>
          <w:top w:w="0" w:type="dxa"/>
          <w:left w:w="108" w:type="dxa"/>
          <w:bottom w:w="0" w:type="dxa"/>
          <w:right w:w="108" w:type="dxa"/>
        </w:tblCellMar>
      </w:tblPr>
      <w:tblGrid>
        <w:gridCol w:w="1402"/>
        <w:gridCol w:w="2122"/>
        <w:gridCol w:w="4733"/>
        <w:gridCol w:w="3753"/>
        <w:gridCol w:w="1958"/>
        <w:gridCol w:w="1389"/>
      </w:tblGrid>
      <w:tr w14:paraId="1C9DA3D1">
        <w:tblPrEx>
          <w:tblCellMar>
            <w:top w:w="0" w:type="dxa"/>
            <w:left w:w="108" w:type="dxa"/>
            <w:bottom w:w="0" w:type="dxa"/>
            <w:right w:w="108" w:type="dxa"/>
          </w:tblCellMar>
        </w:tblPrEx>
        <w:trPr>
          <w:trHeight w:val="600" w:hRule="atLeast"/>
          <w:tblHeader/>
        </w:trPr>
        <w:tc>
          <w:tcPr>
            <w:tcW w:w="1217" w:type="dxa"/>
            <w:tcBorders>
              <w:top w:val="single" w:color="auto" w:sz="4" w:space="0"/>
              <w:left w:val="single" w:color="auto" w:sz="4" w:space="0"/>
              <w:bottom w:val="single" w:color="auto" w:sz="4" w:space="0"/>
              <w:right w:val="single" w:color="auto" w:sz="4" w:space="0"/>
            </w:tcBorders>
            <w:noWrap/>
            <w:vAlign w:val="center"/>
          </w:tcPr>
          <w:p w14:paraId="112FCFBC">
            <w:pPr>
              <w:widowControl/>
              <w:jc w:val="center"/>
              <w:rPr>
                <w:rFonts w:ascii="Times New Roman" w:hAnsi="Times New Roman"/>
                <w:b/>
                <w:kern w:val="0"/>
                <w:sz w:val="22"/>
              </w:rPr>
            </w:pPr>
            <w:r>
              <w:rPr>
                <w:rFonts w:ascii="Times New Roman" w:hAnsi="Times New Roman"/>
                <w:b/>
                <w:kern w:val="0"/>
                <w:sz w:val="22"/>
              </w:rPr>
              <w:t>一级指标</w:t>
            </w:r>
          </w:p>
        </w:tc>
        <w:tc>
          <w:tcPr>
            <w:tcW w:w="1843" w:type="dxa"/>
            <w:tcBorders>
              <w:top w:val="single" w:color="auto" w:sz="4" w:space="0"/>
              <w:left w:val="nil"/>
              <w:bottom w:val="single" w:color="auto" w:sz="4" w:space="0"/>
              <w:right w:val="single" w:color="auto" w:sz="4" w:space="0"/>
            </w:tcBorders>
            <w:noWrap/>
            <w:vAlign w:val="center"/>
          </w:tcPr>
          <w:p w14:paraId="7B29899F">
            <w:pPr>
              <w:widowControl/>
              <w:jc w:val="center"/>
              <w:rPr>
                <w:rFonts w:ascii="Times New Roman" w:hAnsi="Times New Roman"/>
                <w:b/>
                <w:kern w:val="0"/>
                <w:sz w:val="22"/>
              </w:rPr>
            </w:pPr>
            <w:r>
              <w:rPr>
                <w:rFonts w:ascii="Times New Roman" w:hAnsi="Times New Roman"/>
                <w:b/>
                <w:kern w:val="0"/>
                <w:sz w:val="22"/>
              </w:rPr>
              <w:t>二级指标</w:t>
            </w:r>
          </w:p>
        </w:tc>
        <w:tc>
          <w:tcPr>
            <w:tcW w:w="4111" w:type="dxa"/>
            <w:tcBorders>
              <w:top w:val="single" w:color="auto" w:sz="4" w:space="0"/>
              <w:left w:val="nil"/>
              <w:bottom w:val="single" w:color="auto" w:sz="4" w:space="0"/>
              <w:right w:val="single" w:color="auto" w:sz="4" w:space="0"/>
            </w:tcBorders>
            <w:vAlign w:val="center"/>
          </w:tcPr>
          <w:p w14:paraId="28EBCC4E">
            <w:pPr>
              <w:widowControl/>
              <w:ind w:firstLine="1546" w:firstLineChars="700"/>
              <w:jc w:val="left"/>
              <w:rPr>
                <w:rFonts w:ascii="Times New Roman" w:hAnsi="Times New Roman"/>
                <w:b/>
                <w:kern w:val="0"/>
                <w:sz w:val="22"/>
              </w:rPr>
            </w:pPr>
            <w:r>
              <w:rPr>
                <w:rFonts w:ascii="Times New Roman" w:hAnsi="Times New Roman"/>
                <w:b/>
                <w:kern w:val="0"/>
                <w:sz w:val="22"/>
              </w:rPr>
              <w:t>指标解释</w:t>
            </w:r>
          </w:p>
        </w:tc>
        <w:tc>
          <w:tcPr>
            <w:tcW w:w="3260" w:type="dxa"/>
            <w:tcBorders>
              <w:top w:val="single" w:color="auto" w:sz="4" w:space="0"/>
              <w:left w:val="nil"/>
              <w:bottom w:val="single" w:color="auto" w:sz="4" w:space="0"/>
              <w:right w:val="single" w:color="auto" w:sz="4" w:space="0"/>
            </w:tcBorders>
            <w:noWrap/>
            <w:vAlign w:val="center"/>
          </w:tcPr>
          <w:p w14:paraId="0103C70C">
            <w:pPr>
              <w:widowControl/>
              <w:ind w:firstLine="1325" w:firstLineChars="600"/>
              <w:jc w:val="left"/>
              <w:rPr>
                <w:rFonts w:ascii="Times New Roman" w:hAnsi="Times New Roman"/>
                <w:b/>
                <w:kern w:val="0"/>
                <w:sz w:val="22"/>
              </w:rPr>
            </w:pPr>
            <w:r>
              <w:rPr>
                <w:rFonts w:ascii="Times New Roman" w:hAnsi="Times New Roman"/>
                <w:b/>
                <w:kern w:val="0"/>
                <w:sz w:val="22"/>
              </w:rPr>
              <w:t>赋分细则</w:t>
            </w:r>
          </w:p>
        </w:tc>
        <w:tc>
          <w:tcPr>
            <w:tcW w:w="1701" w:type="dxa"/>
            <w:tcBorders>
              <w:top w:val="single" w:color="auto" w:sz="4" w:space="0"/>
              <w:left w:val="nil"/>
              <w:bottom w:val="single" w:color="auto" w:sz="4" w:space="0"/>
              <w:right w:val="single" w:color="auto" w:sz="4" w:space="0"/>
            </w:tcBorders>
            <w:noWrap/>
            <w:vAlign w:val="center"/>
          </w:tcPr>
          <w:p w14:paraId="1F3425D8">
            <w:pPr>
              <w:widowControl/>
              <w:jc w:val="left"/>
              <w:rPr>
                <w:rFonts w:ascii="Times New Roman" w:hAnsi="Times New Roman"/>
                <w:b/>
                <w:kern w:val="0"/>
                <w:sz w:val="22"/>
              </w:rPr>
            </w:pPr>
            <w:r>
              <w:rPr>
                <w:rFonts w:ascii="Times New Roman" w:hAnsi="Times New Roman"/>
                <w:b/>
                <w:kern w:val="0"/>
                <w:sz w:val="22"/>
              </w:rPr>
              <w:t>审查依据资料</w:t>
            </w:r>
          </w:p>
        </w:tc>
        <w:tc>
          <w:tcPr>
            <w:tcW w:w="1207" w:type="dxa"/>
            <w:tcBorders>
              <w:top w:val="single" w:color="auto" w:sz="4" w:space="0"/>
              <w:left w:val="nil"/>
              <w:bottom w:val="single" w:color="auto" w:sz="4" w:space="0"/>
              <w:right w:val="single" w:color="auto" w:sz="4" w:space="0"/>
            </w:tcBorders>
            <w:vAlign w:val="center"/>
          </w:tcPr>
          <w:p w14:paraId="294713C0">
            <w:pPr>
              <w:widowControl/>
              <w:jc w:val="center"/>
              <w:rPr>
                <w:rFonts w:ascii="Times New Roman" w:hAnsi="Times New Roman"/>
                <w:b/>
                <w:kern w:val="0"/>
                <w:sz w:val="22"/>
              </w:rPr>
            </w:pPr>
            <w:r>
              <w:rPr>
                <w:rFonts w:ascii="Times New Roman" w:hAnsi="Times New Roman"/>
                <w:b/>
                <w:kern w:val="0"/>
                <w:sz w:val="22"/>
              </w:rPr>
              <w:t>审查计分</w:t>
            </w:r>
          </w:p>
        </w:tc>
      </w:tr>
      <w:tr w14:paraId="467D0452">
        <w:tblPrEx>
          <w:tblCellMar>
            <w:top w:w="0" w:type="dxa"/>
            <w:left w:w="108" w:type="dxa"/>
            <w:bottom w:w="0" w:type="dxa"/>
            <w:right w:w="108" w:type="dxa"/>
          </w:tblCellMar>
        </w:tblPrEx>
        <w:trPr>
          <w:trHeight w:val="810" w:hRule="atLeast"/>
        </w:trPr>
        <w:tc>
          <w:tcPr>
            <w:tcW w:w="1217" w:type="dxa"/>
            <w:vMerge w:val="restart"/>
            <w:tcBorders>
              <w:top w:val="nil"/>
              <w:left w:val="single" w:color="auto" w:sz="4" w:space="0"/>
              <w:right w:val="single" w:color="auto" w:sz="4" w:space="0"/>
            </w:tcBorders>
            <w:noWrap/>
            <w:vAlign w:val="center"/>
          </w:tcPr>
          <w:p w14:paraId="6944211C">
            <w:pPr>
              <w:widowControl/>
              <w:jc w:val="center"/>
              <w:rPr>
                <w:rFonts w:ascii="Times New Roman" w:hAnsi="Times New Roman"/>
                <w:kern w:val="0"/>
                <w:sz w:val="22"/>
              </w:rPr>
            </w:pPr>
            <w:r>
              <w:rPr>
                <w:rFonts w:ascii="Times New Roman" w:hAnsi="Times New Roman"/>
                <w:kern w:val="0"/>
                <w:sz w:val="22"/>
              </w:rPr>
              <w:t>政治、品德与潜力（25分）</w:t>
            </w:r>
          </w:p>
        </w:tc>
        <w:tc>
          <w:tcPr>
            <w:tcW w:w="1843" w:type="dxa"/>
            <w:tcBorders>
              <w:top w:val="nil"/>
              <w:left w:val="single" w:color="auto" w:sz="4" w:space="0"/>
              <w:bottom w:val="single" w:color="auto" w:sz="4" w:space="0"/>
              <w:right w:val="single" w:color="auto" w:sz="4" w:space="0"/>
            </w:tcBorders>
            <w:noWrap/>
            <w:vAlign w:val="center"/>
          </w:tcPr>
          <w:p w14:paraId="7F96C9F5">
            <w:pPr>
              <w:widowControl/>
              <w:jc w:val="left"/>
              <w:rPr>
                <w:rFonts w:ascii="Times New Roman" w:hAnsi="Times New Roman"/>
                <w:kern w:val="0"/>
                <w:sz w:val="22"/>
              </w:rPr>
            </w:pPr>
            <w:r>
              <w:rPr>
                <w:rFonts w:ascii="Times New Roman" w:hAnsi="Times New Roman"/>
                <w:kern w:val="0"/>
                <w:sz w:val="22"/>
              </w:rPr>
              <w:t>政治可靠，人品良好（10分）</w:t>
            </w:r>
          </w:p>
        </w:tc>
        <w:tc>
          <w:tcPr>
            <w:tcW w:w="4111" w:type="dxa"/>
            <w:tcBorders>
              <w:top w:val="nil"/>
              <w:left w:val="nil"/>
              <w:bottom w:val="single" w:color="auto" w:sz="4" w:space="0"/>
              <w:right w:val="single" w:color="auto" w:sz="4" w:space="0"/>
            </w:tcBorders>
            <w:vAlign w:val="center"/>
          </w:tcPr>
          <w:p w14:paraId="4FD0C01D">
            <w:pPr>
              <w:widowControl/>
              <w:jc w:val="left"/>
              <w:rPr>
                <w:rFonts w:ascii="Times New Roman" w:hAnsi="Times New Roman"/>
                <w:kern w:val="0"/>
                <w:sz w:val="22"/>
              </w:rPr>
            </w:pPr>
            <w:r>
              <w:rPr>
                <w:rFonts w:ascii="Times New Roman" w:hAnsi="Times New Roman"/>
                <w:kern w:val="0"/>
                <w:sz w:val="22"/>
              </w:rPr>
              <w:t>拥护党的领导，</w:t>
            </w:r>
            <w:r>
              <w:rPr>
                <w:rFonts w:ascii="Times New Roman" w:hAnsi="Times New Roman"/>
                <w:sz w:val="22"/>
              </w:rPr>
              <w:t>事业心强，人品良好，且有良好的职业道德，诚实守信，社会口碑良好。</w:t>
            </w:r>
          </w:p>
        </w:tc>
        <w:tc>
          <w:tcPr>
            <w:tcW w:w="3260" w:type="dxa"/>
            <w:tcBorders>
              <w:top w:val="nil"/>
              <w:left w:val="nil"/>
              <w:bottom w:val="single" w:color="auto" w:sz="4" w:space="0"/>
              <w:right w:val="single" w:color="auto" w:sz="4" w:space="0"/>
            </w:tcBorders>
            <w:vAlign w:val="center"/>
          </w:tcPr>
          <w:p w14:paraId="4D6B22A4">
            <w:pPr>
              <w:widowControl/>
              <w:jc w:val="left"/>
              <w:rPr>
                <w:rFonts w:ascii="Times New Roman" w:hAnsi="Times New Roman"/>
                <w:kern w:val="0"/>
                <w:sz w:val="22"/>
              </w:rPr>
            </w:pPr>
            <w:r>
              <w:rPr>
                <w:rFonts w:ascii="Times New Roman" w:hAnsi="Times New Roman"/>
                <w:kern w:val="0"/>
                <w:sz w:val="22"/>
              </w:rPr>
              <w:t>符合条件得满分；有社会负面评价者，酌情扣1-5分；有反党反社会主义等政治问题的，一票否决。</w:t>
            </w:r>
          </w:p>
        </w:tc>
        <w:tc>
          <w:tcPr>
            <w:tcW w:w="1701" w:type="dxa"/>
            <w:tcBorders>
              <w:top w:val="nil"/>
              <w:left w:val="nil"/>
              <w:bottom w:val="single" w:color="auto" w:sz="4" w:space="0"/>
              <w:right w:val="single" w:color="auto" w:sz="4" w:space="0"/>
            </w:tcBorders>
            <w:vAlign w:val="center"/>
          </w:tcPr>
          <w:p w14:paraId="58CAFC97">
            <w:pPr>
              <w:widowControl/>
              <w:jc w:val="left"/>
              <w:rPr>
                <w:rFonts w:ascii="Times New Roman" w:hAnsi="Times New Roman"/>
                <w:kern w:val="0"/>
                <w:sz w:val="22"/>
              </w:rPr>
            </w:pPr>
            <w:r>
              <w:rPr>
                <w:rFonts w:ascii="Times New Roman" w:hAnsi="Times New Roman"/>
                <w:kern w:val="0"/>
                <w:sz w:val="22"/>
              </w:rPr>
              <w:t>1.申报材料</w:t>
            </w:r>
          </w:p>
          <w:p w14:paraId="598A2D38">
            <w:pPr>
              <w:widowControl/>
              <w:jc w:val="left"/>
              <w:rPr>
                <w:rFonts w:ascii="Times New Roman" w:hAnsi="Times New Roman"/>
                <w:kern w:val="0"/>
                <w:sz w:val="22"/>
              </w:rPr>
            </w:pPr>
            <w:r>
              <w:rPr>
                <w:rFonts w:ascii="Times New Roman" w:hAnsi="Times New Roman"/>
                <w:kern w:val="0"/>
                <w:sz w:val="22"/>
              </w:rPr>
              <w:t>2.组织调查</w:t>
            </w:r>
          </w:p>
        </w:tc>
        <w:tc>
          <w:tcPr>
            <w:tcW w:w="1207" w:type="dxa"/>
            <w:tcBorders>
              <w:top w:val="nil"/>
              <w:left w:val="nil"/>
              <w:bottom w:val="single" w:color="auto" w:sz="4" w:space="0"/>
              <w:right w:val="single" w:color="auto" w:sz="4" w:space="0"/>
            </w:tcBorders>
          </w:tcPr>
          <w:p w14:paraId="7E421EF4">
            <w:pPr>
              <w:widowControl/>
              <w:jc w:val="left"/>
              <w:rPr>
                <w:rFonts w:ascii="Times New Roman" w:hAnsi="Times New Roman"/>
                <w:kern w:val="0"/>
                <w:sz w:val="22"/>
              </w:rPr>
            </w:pPr>
          </w:p>
        </w:tc>
      </w:tr>
      <w:tr w14:paraId="5027CE9F">
        <w:tblPrEx>
          <w:tblCellMar>
            <w:top w:w="0" w:type="dxa"/>
            <w:left w:w="108" w:type="dxa"/>
            <w:bottom w:w="0" w:type="dxa"/>
            <w:right w:w="108" w:type="dxa"/>
          </w:tblCellMar>
        </w:tblPrEx>
        <w:trPr>
          <w:trHeight w:val="600" w:hRule="atLeast"/>
        </w:trPr>
        <w:tc>
          <w:tcPr>
            <w:tcW w:w="1217" w:type="dxa"/>
            <w:vMerge w:val="continue"/>
            <w:tcBorders>
              <w:left w:val="single" w:color="auto" w:sz="4" w:space="0"/>
              <w:right w:val="single" w:color="auto" w:sz="4" w:space="0"/>
            </w:tcBorders>
            <w:vAlign w:val="center"/>
          </w:tcPr>
          <w:p w14:paraId="07D77A01">
            <w:pPr>
              <w:widowControl/>
              <w:jc w:val="left"/>
              <w:rPr>
                <w:rFonts w:ascii="Times New Roman" w:hAnsi="Times New Roman"/>
                <w:kern w:val="0"/>
                <w:sz w:val="22"/>
              </w:rPr>
            </w:pPr>
          </w:p>
        </w:tc>
        <w:tc>
          <w:tcPr>
            <w:tcW w:w="1843" w:type="dxa"/>
            <w:tcBorders>
              <w:top w:val="nil"/>
              <w:left w:val="nil"/>
              <w:bottom w:val="single" w:color="auto" w:sz="4" w:space="0"/>
              <w:right w:val="single" w:color="auto" w:sz="4" w:space="0"/>
            </w:tcBorders>
            <w:noWrap/>
            <w:vAlign w:val="center"/>
          </w:tcPr>
          <w:p w14:paraId="203E1B75">
            <w:pPr>
              <w:widowControl/>
              <w:jc w:val="left"/>
              <w:rPr>
                <w:rFonts w:ascii="Times New Roman" w:hAnsi="Times New Roman"/>
                <w:kern w:val="0"/>
                <w:sz w:val="22"/>
              </w:rPr>
            </w:pPr>
            <w:r>
              <w:rPr>
                <w:rFonts w:ascii="Times New Roman" w:hAnsi="Times New Roman"/>
                <w:kern w:val="0"/>
                <w:sz w:val="22"/>
              </w:rPr>
              <w:t>遵纪守法（10分）</w:t>
            </w:r>
          </w:p>
        </w:tc>
        <w:tc>
          <w:tcPr>
            <w:tcW w:w="4111" w:type="dxa"/>
            <w:tcBorders>
              <w:top w:val="nil"/>
              <w:left w:val="nil"/>
              <w:bottom w:val="single" w:color="auto" w:sz="4" w:space="0"/>
              <w:right w:val="single" w:color="auto" w:sz="4" w:space="0"/>
            </w:tcBorders>
            <w:vAlign w:val="center"/>
          </w:tcPr>
          <w:p w14:paraId="2F4F6FE2">
            <w:pPr>
              <w:widowControl/>
              <w:jc w:val="left"/>
              <w:rPr>
                <w:rFonts w:ascii="Times New Roman" w:hAnsi="Times New Roman"/>
                <w:kern w:val="0"/>
                <w:sz w:val="22"/>
              </w:rPr>
            </w:pPr>
            <w:r>
              <w:rPr>
                <w:rFonts w:ascii="Times New Roman" w:hAnsi="Times New Roman"/>
                <w:kern w:val="0"/>
                <w:sz w:val="22"/>
              </w:rPr>
              <w:t>本人或所领导的企业没有违法乱纪行为，本人未成为失信被执行人。</w:t>
            </w:r>
          </w:p>
        </w:tc>
        <w:tc>
          <w:tcPr>
            <w:tcW w:w="3260" w:type="dxa"/>
            <w:tcBorders>
              <w:top w:val="nil"/>
              <w:left w:val="nil"/>
              <w:bottom w:val="single" w:color="auto" w:sz="4" w:space="0"/>
              <w:right w:val="single" w:color="auto" w:sz="4" w:space="0"/>
            </w:tcBorders>
            <w:vAlign w:val="center"/>
          </w:tcPr>
          <w:p w14:paraId="203C4C49">
            <w:pPr>
              <w:widowControl/>
              <w:jc w:val="left"/>
              <w:rPr>
                <w:rFonts w:ascii="Times New Roman" w:hAnsi="Times New Roman"/>
                <w:kern w:val="0"/>
                <w:sz w:val="22"/>
              </w:rPr>
            </w:pPr>
            <w:r>
              <w:rPr>
                <w:rFonts w:ascii="Times New Roman" w:hAnsi="Times New Roman"/>
                <w:kern w:val="0"/>
                <w:sz w:val="22"/>
              </w:rPr>
              <w:t>符合条件得满分；个人有违法乱纪情况受到处分的，或本人成为失信被执行人的本项不得分；有触犯党纪国法的，一票否决。</w:t>
            </w:r>
          </w:p>
        </w:tc>
        <w:tc>
          <w:tcPr>
            <w:tcW w:w="1701" w:type="dxa"/>
            <w:tcBorders>
              <w:top w:val="nil"/>
              <w:left w:val="nil"/>
              <w:bottom w:val="single" w:color="auto" w:sz="4" w:space="0"/>
              <w:right w:val="single" w:color="auto" w:sz="4" w:space="0"/>
            </w:tcBorders>
            <w:vAlign w:val="center"/>
          </w:tcPr>
          <w:p w14:paraId="14EA2EAD">
            <w:pPr>
              <w:widowControl/>
              <w:jc w:val="left"/>
              <w:rPr>
                <w:rFonts w:ascii="Times New Roman" w:hAnsi="Times New Roman"/>
                <w:kern w:val="0"/>
                <w:sz w:val="22"/>
              </w:rPr>
            </w:pPr>
            <w:r>
              <w:rPr>
                <w:rFonts w:ascii="Times New Roman" w:hAnsi="Times New Roman"/>
                <w:kern w:val="0"/>
                <w:sz w:val="22"/>
              </w:rPr>
              <w:t>同上</w:t>
            </w:r>
          </w:p>
        </w:tc>
        <w:tc>
          <w:tcPr>
            <w:tcW w:w="1207" w:type="dxa"/>
            <w:tcBorders>
              <w:top w:val="nil"/>
              <w:left w:val="nil"/>
              <w:bottom w:val="single" w:color="auto" w:sz="4" w:space="0"/>
              <w:right w:val="single" w:color="auto" w:sz="4" w:space="0"/>
            </w:tcBorders>
          </w:tcPr>
          <w:p w14:paraId="63FF02AE">
            <w:pPr>
              <w:widowControl/>
              <w:jc w:val="left"/>
              <w:rPr>
                <w:rFonts w:ascii="Times New Roman" w:hAnsi="Times New Roman"/>
                <w:kern w:val="0"/>
                <w:sz w:val="22"/>
              </w:rPr>
            </w:pPr>
          </w:p>
        </w:tc>
      </w:tr>
      <w:tr w14:paraId="27ACE807">
        <w:tblPrEx>
          <w:tblCellMar>
            <w:top w:w="0" w:type="dxa"/>
            <w:left w:w="108" w:type="dxa"/>
            <w:bottom w:w="0" w:type="dxa"/>
            <w:right w:w="108" w:type="dxa"/>
          </w:tblCellMar>
        </w:tblPrEx>
        <w:trPr>
          <w:trHeight w:val="600" w:hRule="atLeast"/>
        </w:trPr>
        <w:tc>
          <w:tcPr>
            <w:tcW w:w="1217" w:type="dxa"/>
            <w:vMerge w:val="continue"/>
            <w:tcBorders>
              <w:left w:val="single" w:color="auto" w:sz="4" w:space="0"/>
              <w:bottom w:val="single" w:color="auto" w:sz="4" w:space="0"/>
              <w:right w:val="single" w:color="auto" w:sz="4" w:space="0"/>
            </w:tcBorders>
            <w:vAlign w:val="center"/>
          </w:tcPr>
          <w:p w14:paraId="0B750334">
            <w:pPr>
              <w:widowControl/>
              <w:jc w:val="left"/>
              <w:rPr>
                <w:rFonts w:ascii="Times New Roman" w:hAnsi="Times New Roman"/>
                <w:kern w:val="0"/>
                <w:sz w:val="22"/>
              </w:rPr>
            </w:pPr>
          </w:p>
        </w:tc>
        <w:tc>
          <w:tcPr>
            <w:tcW w:w="1843" w:type="dxa"/>
            <w:tcBorders>
              <w:top w:val="nil"/>
              <w:left w:val="nil"/>
              <w:bottom w:val="single" w:color="auto" w:sz="4" w:space="0"/>
              <w:right w:val="single" w:color="auto" w:sz="4" w:space="0"/>
            </w:tcBorders>
            <w:noWrap/>
            <w:vAlign w:val="center"/>
          </w:tcPr>
          <w:p w14:paraId="4E0200E8">
            <w:pPr>
              <w:widowControl/>
              <w:jc w:val="left"/>
              <w:rPr>
                <w:rFonts w:ascii="Times New Roman" w:hAnsi="Times New Roman"/>
                <w:kern w:val="0"/>
                <w:sz w:val="22"/>
              </w:rPr>
            </w:pPr>
            <w:r>
              <w:rPr>
                <w:rFonts w:ascii="Times New Roman" w:hAnsi="Times New Roman"/>
                <w:kern w:val="0"/>
                <w:sz w:val="22"/>
              </w:rPr>
              <w:t>年轻有为，富有潜力（5分）</w:t>
            </w:r>
          </w:p>
        </w:tc>
        <w:tc>
          <w:tcPr>
            <w:tcW w:w="4111" w:type="dxa"/>
            <w:tcBorders>
              <w:top w:val="nil"/>
              <w:left w:val="nil"/>
              <w:bottom w:val="single" w:color="auto" w:sz="4" w:space="0"/>
              <w:right w:val="single" w:color="auto" w:sz="4" w:space="0"/>
            </w:tcBorders>
            <w:vAlign w:val="center"/>
          </w:tcPr>
          <w:p w14:paraId="71955599">
            <w:pPr>
              <w:widowControl/>
              <w:jc w:val="left"/>
              <w:rPr>
                <w:rFonts w:ascii="Times New Roman" w:hAnsi="Times New Roman"/>
                <w:kern w:val="0"/>
                <w:sz w:val="22"/>
              </w:rPr>
            </w:pPr>
            <w:r>
              <w:rPr>
                <w:rFonts w:ascii="Times New Roman" w:hAnsi="Times New Roman"/>
                <w:kern w:val="0"/>
                <w:sz w:val="22"/>
              </w:rPr>
              <w:t>原则上年龄45周岁以下，根据实际情况对专精特新等发展潜力大的企业可适当放宽至50周岁。</w:t>
            </w:r>
          </w:p>
        </w:tc>
        <w:tc>
          <w:tcPr>
            <w:tcW w:w="3260" w:type="dxa"/>
            <w:tcBorders>
              <w:top w:val="nil"/>
              <w:left w:val="nil"/>
              <w:bottom w:val="single" w:color="auto" w:sz="4" w:space="0"/>
              <w:right w:val="single" w:color="auto" w:sz="4" w:space="0"/>
            </w:tcBorders>
            <w:vAlign w:val="center"/>
          </w:tcPr>
          <w:p w14:paraId="617769F2">
            <w:pPr>
              <w:widowControl/>
              <w:jc w:val="left"/>
              <w:rPr>
                <w:rFonts w:ascii="Times New Roman" w:hAnsi="Times New Roman"/>
                <w:kern w:val="0"/>
                <w:sz w:val="22"/>
              </w:rPr>
            </w:pPr>
            <w:r>
              <w:rPr>
                <w:rFonts w:ascii="Times New Roman" w:hAnsi="Times New Roman"/>
                <w:kern w:val="0"/>
                <w:sz w:val="22"/>
              </w:rPr>
              <w:t>根据发展潜力情况酌情评分。</w:t>
            </w:r>
          </w:p>
        </w:tc>
        <w:tc>
          <w:tcPr>
            <w:tcW w:w="1701" w:type="dxa"/>
            <w:tcBorders>
              <w:top w:val="nil"/>
              <w:left w:val="nil"/>
              <w:bottom w:val="single" w:color="auto" w:sz="4" w:space="0"/>
              <w:right w:val="single" w:color="auto" w:sz="4" w:space="0"/>
            </w:tcBorders>
            <w:vAlign w:val="center"/>
          </w:tcPr>
          <w:p w14:paraId="72AA14AF">
            <w:pPr>
              <w:widowControl/>
              <w:jc w:val="left"/>
              <w:rPr>
                <w:rFonts w:ascii="Times New Roman" w:hAnsi="Times New Roman"/>
                <w:kern w:val="0"/>
                <w:sz w:val="22"/>
              </w:rPr>
            </w:pPr>
            <w:r>
              <w:rPr>
                <w:rFonts w:ascii="Times New Roman" w:hAnsi="Times New Roman"/>
                <w:kern w:val="0"/>
                <w:sz w:val="22"/>
              </w:rPr>
              <w:t>同上</w:t>
            </w:r>
          </w:p>
        </w:tc>
        <w:tc>
          <w:tcPr>
            <w:tcW w:w="1207" w:type="dxa"/>
            <w:tcBorders>
              <w:top w:val="nil"/>
              <w:left w:val="nil"/>
              <w:bottom w:val="single" w:color="auto" w:sz="4" w:space="0"/>
              <w:right w:val="single" w:color="auto" w:sz="4" w:space="0"/>
            </w:tcBorders>
          </w:tcPr>
          <w:p w14:paraId="3EA3BDA6">
            <w:pPr>
              <w:widowControl/>
              <w:jc w:val="left"/>
              <w:rPr>
                <w:rFonts w:ascii="Times New Roman" w:hAnsi="Times New Roman"/>
                <w:kern w:val="0"/>
                <w:sz w:val="22"/>
              </w:rPr>
            </w:pPr>
          </w:p>
        </w:tc>
      </w:tr>
      <w:tr w14:paraId="5AB5453D">
        <w:tblPrEx>
          <w:tblCellMar>
            <w:top w:w="0" w:type="dxa"/>
            <w:left w:w="108" w:type="dxa"/>
            <w:bottom w:w="0" w:type="dxa"/>
            <w:right w:w="108" w:type="dxa"/>
          </w:tblCellMar>
        </w:tblPrEx>
        <w:trPr>
          <w:trHeight w:val="600" w:hRule="atLeast"/>
        </w:trPr>
        <w:tc>
          <w:tcPr>
            <w:tcW w:w="1217" w:type="dxa"/>
            <w:vMerge w:val="restart"/>
            <w:tcBorders>
              <w:top w:val="nil"/>
              <w:left w:val="single" w:color="auto" w:sz="4" w:space="0"/>
              <w:right w:val="single" w:color="auto" w:sz="4" w:space="0"/>
            </w:tcBorders>
            <w:noWrap/>
            <w:vAlign w:val="center"/>
          </w:tcPr>
          <w:p w14:paraId="32355B35">
            <w:pPr>
              <w:widowControl/>
              <w:jc w:val="center"/>
              <w:rPr>
                <w:rFonts w:ascii="Times New Roman" w:hAnsi="Times New Roman"/>
                <w:kern w:val="0"/>
                <w:sz w:val="22"/>
              </w:rPr>
            </w:pPr>
            <w:r>
              <w:rPr>
                <w:rFonts w:ascii="Times New Roman" w:hAnsi="Times New Roman"/>
                <w:kern w:val="0"/>
                <w:sz w:val="22"/>
              </w:rPr>
              <w:t>经济</w:t>
            </w:r>
          </w:p>
          <w:p w14:paraId="76B2B6B4">
            <w:pPr>
              <w:widowControl/>
              <w:jc w:val="center"/>
              <w:rPr>
                <w:rFonts w:ascii="Times New Roman" w:hAnsi="Times New Roman"/>
                <w:kern w:val="0"/>
                <w:sz w:val="22"/>
              </w:rPr>
            </w:pPr>
            <w:r>
              <w:rPr>
                <w:rFonts w:ascii="Times New Roman" w:hAnsi="Times New Roman"/>
                <w:kern w:val="0"/>
                <w:sz w:val="22"/>
              </w:rPr>
              <w:t>业绩</w:t>
            </w:r>
          </w:p>
          <w:p w14:paraId="59B186CA">
            <w:pPr>
              <w:widowControl/>
              <w:jc w:val="center"/>
              <w:rPr>
                <w:rFonts w:ascii="Times New Roman" w:hAnsi="Times New Roman"/>
                <w:kern w:val="0"/>
                <w:sz w:val="22"/>
              </w:rPr>
            </w:pPr>
            <w:r>
              <w:rPr>
                <w:rFonts w:ascii="Times New Roman" w:hAnsi="Times New Roman"/>
                <w:kern w:val="0"/>
                <w:sz w:val="22"/>
              </w:rPr>
              <w:t>较为</w:t>
            </w:r>
          </w:p>
          <w:p w14:paraId="30C96822">
            <w:pPr>
              <w:widowControl/>
              <w:jc w:val="center"/>
              <w:rPr>
                <w:rFonts w:ascii="Times New Roman" w:hAnsi="Times New Roman"/>
                <w:kern w:val="0"/>
                <w:sz w:val="22"/>
              </w:rPr>
            </w:pPr>
            <w:r>
              <w:rPr>
                <w:rFonts w:ascii="Times New Roman" w:hAnsi="Times New Roman"/>
                <w:kern w:val="0"/>
                <w:sz w:val="22"/>
              </w:rPr>
              <w:t>突出</w:t>
            </w:r>
          </w:p>
          <w:p w14:paraId="05723A5F">
            <w:pPr>
              <w:widowControl/>
              <w:jc w:val="center"/>
              <w:rPr>
                <w:rFonts w:ascii="Times New Roman" w:hAnsi="Times New Roman"/>
                <w:kern w:val="0"/>
                <w:sz w:val="22"/>
              </w:rPr>
            </w:pPr>
            <w:r>
              <w:rPr>
                <w:rFonts w:ascii="Times New Roman" w:hAnsi="Times New Roman"/>
                <w:kern w:val="0"/>
                <w:sz w:val="22"/>
              </w:rPr>
              <w:t>（50分，</w:t>
            </w:r>
          </w:p>
          <w:p w14:paraId="33AC80DB">
            <w:pPr>
              <w:widowControl/>
              <w:jc w:val="center"/>
              <w:rPr>
                <w:rFonts w:ascii="Times New Roman" w:hAnsi="Times New Roman"/>
                <w:kern w:val="0"/>
                <w:sz w:val="22"/>
              </w:rPr>
            </w:pPr>
            <w:r>
              <w:rPr>
                <w:rFonts w:ascii="Times New Roman" w:hAnsi="Times New Roman"/>
                <w:kern w:val="0"/>
                <w:sz w:val="22"/>
              </w:rPr>
              <w:t>具备</w:t>
            </w:r>
          </w:p>
          <w:p w14:paraId="6CFE3F4E">
            <w:pPr>
              <w:widowControl/>
              <w:jc w:val="center"/>
              <w:rPr>
                <w:rFonts w:ascii="Times New Roman" w:hAnsi="Times New Roman"/>
                <w:kern w:val="0"/>
                <w:sz w:val="22"/>
              </w:rPr>
            </w:pPr>
            <w:r>
              <w:rPr>
                <w:rFonts w:ascii="Times New Roman" w:hAnsi="Times New Roman"/>
                <w:kern w:val="0"/>
                <w:sz w:val="22"/>
              </w:rPr>
              <w:t>二级</w:t>
            </w:r>
          </w:p>
          <w:p w14:paraId="73218DAF">
            <w:pPr>
              <w:widowControl/>
              <w:jc w:val="center"/>
              <w:rPr>
                <w:rFonts w:ascii="Times New Roman" w:hAnsi="Times New Roman"/>
                <w:kern w:val="0"/>
                <w:sz w:val="22"/>
              </w:rPr>
            </w:pPr>
            <w:r>
              <w:rPr>
                <w:rFonts w:ascii="Times New Roman" w:hAnsi="Times New Roman"/>
                <w:kern w:val="0"/>
                <w:sz w:val="22"/>
              </w:rPr>
              <w:t>指标</w:t>
            </w:r>
          </w:p>
          <w:p w14:paraId="6CA52206">
            <w:pPr>
              <w:widowControl/>
              <w:jc w:val="center"/>
              <w:rPr>
                <w:rFonts w:ascii="Times New Roman" w:hAnsi="Times New Roman"/>
                <w:kern w:val="0"/>
                <w:sz w:val="22"/>
              </w:rPr>
            </w:pPr>
            <w:r>
              <w:rPr>
                <w:rFonts w:ascii="Times New Roman" w:hAnsi="Times New Roman"/>
                <w:kern w:val="0"/>
                <w:sz w:val="22"/>
              </w:rPr>
              <w:t>之一）</w:t>
            </w:r>
          </w:p>
        </w:tc>
        <w:tc>
          <w:tcPr>
            <w:tcW w:w="1843" w:type="dxa"/>
            <w:tcBorders>
              <w:top w:val="nil"/>
              <w:left w:val="nil"/>
              <w:bottom w:val="single" w:color="auto" w:sz="4" w:space="0"/>
              <w:right w:val="single" w:color="auto" w:sz="4" w:space="0"/>
            </w:tcBorders>
            <w:noWrap/>
            <w:vAlign w:val="center"/>
          </w:tcPr>
          <w:p w14:paraId="09146906">
            <w:pPr>
              <w:widowControl/>
              <w:jc w:val="left"/>
              <w:rPr>
                <w:rFonts w:ascii="Times New Roman" w:hAnsi="Times New Roman"/>
                <w:kern w:val="0"/>
                <w:sz w:val="22"/>
              </w:rPr>
            </w:pPr>
            <w:r>
              <w:rPr>
                <w:rFonts w:ascii="Times New Roman" w:hAnsi="Times New Roman"/>
                <w:kern w:val="0"/>
                <w:sz w:val="22"/>
              </w:rPr>
              <w:t>领导业绩较突出</w:t>
            </w:r>
          </w:p>
        </w:tc>
        <w:tc>
          <w:tcPr>
            <w:tcW w:w="4111" w:type="dxa"/>
            <w:tcBorders>
              <w:top w:val="nil"/>
              <w:left w:val="nil"/>
              <w:bottom w:val="single" w:color="auto" w:sz="4" w:space="0"/>
              <w:right w:val="single" w:color="auto" w:sz="4" w:space="0"/>
            </w:tcBorders>
            <w:vAlign w:val="center"/>
          </w:tcPr>
          <w:p w14:paraId="7DEC9AC2">
            <w:pPr>
              <w:widowControl/>
              <w:jc w:val="left"/>
              <w:rPr>
                <w:rFonts w:ascii="Times New Roman" w:hAnsi="Times New Roman"/>
                <w:kern w:val="0"/>
                <w:sz w:val="22"/>
              </w:rPr>
            </w:pPr>
            <w:r>
              <w:rPr>
                <w:rFonts w:ascii="Times New Roman" w:hAnsi="Times New Roman"/>
                <w:kern w:val="0"/>
                <w:sz w:val="22"/>
              </w:rPr>
              <w:t>收入或税收年度复合增长率超过30%；员工数不少于300人；净资产收益率超过同期LPR。</w:t>
            </w:r>
          </w:p>
        </w:tc>
        <w:tc>
          <w:tcPr>
            <w:tcW w:w="3260" w:type="dxa"/>
            <w:tcBorders>
              <w:top w:val="nil"/>
              <w:left w:val="nil"/>
              <w:bottom w:val="single" w:color="auto" w:sz="4" w:space="0"/>
              <w:right w:val="single" w:color="auto" w:sz="4" w:space="0"/>
            </w:tcBorders>
            <w:vAlign w:val="center"/>
          </w:tcPr>
          <w:p w14:paraId="63A2B3F0">
            <w:pPr>
              <w:widowControl/>
              <w:jc w:val="left"/>
              <w:rPr>
                <w:rFonts w:ascii="Times New Roman" w:hAnsi="Times New Roman"/>
                <w:kern w:val="0"/>
                <w:sz w:val="22"/>
              </w:rPr>
            </w:pPr>
            <w:r>
              <w:rPr>
                <w:rFonts w:ascii="Times New Roman" w:hAnsi="Times New Roman"/>
                <w:kern w:val="0"/>
                <w:sz w:val="22"/>
              </w:rPr>
              <w:t>符合条件得满分，低于标准酌情扣分。</w:t>
            </w:r>
          </w:p>
        </w:tc>
        <w:tc>
          <w:tcPr>
            <w:tcW w:w="1701" w:type="dxa"/>
            <w:tcBorders>
              <w:top w:val="nil"/>
              <w:left w:val="nil"/>
              <w:bottom w:val="single" w:color="auto" w:sz="4" w:space="0"/>
              <w:right w:val="single" w:color="auto" w:sz="4" w:space="0"/>
            </w:tcBorders>
            <w:vAlign w:val="center"/>
          </w:tcPr>
          <w:p w14:paraId="1D58113F">
            <w:pPr>
              <w:widowControl/>
              <w:jc w:val="left"/>
              <w:rPr>
                <w:rFonts w:ascii="Times New Roman" w:hAnsi="Times New Roman"/>
                <w:kern w:val="0"/>
                <w:sz w:val="22"/>
              </w:rPr>
            </w:pPr>
            <w:r>
              <w:rPr>
                <w:rFonts w:ascii="Times New Roman" w:hAnsi="Times New Roman"/>
                <w:kern w:val="0"/>
                <w:sz w:val="22"/>
              </w:rPr>
              <w:t>1.申报材料</w:t>
            </w:r>
          </w:p>
          <w:p w14:paraId="417F32D3">
            <w:pPr>
              <w:widowControl/>
              <w:jc w:val="left"/>
              <w:rPr>
                <w:rFonts w:ascii="Times New Roman" w:hAnsi="Times New Roman"/>
                <w:kern w:val="0"/>
                <w:sz w:val="22"/>
              </w:rPr>
            </w:pPr>
            <w:r>
              <w:rPr>
                <w:rFonts w:ascii="Times New Roman" w:hAnsi="Times New Roman"/>
                <w:kern w:val="0"/>
                <w:sz w:val="22"/>
              </w:rPr>
              <w:t>2.组织调查</w:t>
            </w:r>
          </w:p>
        </w:tc>
        <w:tc>
          <w:tcPr>
            <w:tcW w:w="1207" w:type="dxa"/>
            <w:tcBorders>
              <w:top w:val="nil"/>
              <w:left w:val="nil"/>
              <w:bottom w:val="single" w:color="auto" w:sz="4" w:space="0"/>
              <w:right w:val="single" w:color="auto" w:sz="4" w:space="0"/>
            </w:tcBorders>
          </w:tcPr>
          <w:p w14:paraId="2AE4FEF8">
            <w:pPr>
              <w:widowControl/>
              <w:jc w:val="left"/>
              <w:rPr>
                <w:rFonts w:ascii="Times New Roman" w:hAnsi="Times New Roman"/>
                <w:kern w:val="0"/>
                <w:sz w:val="22"/>
              </w:rPr>
            </w:pPr>
          </w:p>
        </w:tc>
      </w:tr>
      <w:tr w14:paraId="3E9735F5">
        <w:tblPrEx>
          <w:tblCellMar>
            <w:top w:w="0" w:type="dxa"/>
            <w:left w:w="108" w:type="dxa"/>
            <w:bottom w:w="0" w:type="dxa"/>
            <w:right w:w="108" w:type="dxa"/>
          </w:tblCellMar>
        </w:tblPrEx>
        <w:trPr>
          <w:trHeight w:val="1080" w:hRule="atLeast"/>
        </w:trPr>
        <w:tc>
          <w:tcPr>
            <w:tcW w:w="1217" w:type="dxa"/>
            <w:vMerge w:val="continue"/>
            <w:tcBorders>
              <w:left w:val="single" w:color="auto" w:sz="4" w:space="0"/>
              <w:right w:val="single" w:color="auto" w:sz="4" w:space="0"/>
            </w:tcBorders>
            <w:vAlign w:val="center"/>
          </w:tcPr>
          <w:p w14:paraId="26B333C4">
            <w:pPr>
              <w:widowControl/>
              <w:jc w:val="left"/>
              <w:rPr>
                <w:rFonts w:ascii="Times New Roman" w:hAnsi="Times New Roman"/>
                <w:kern w:val="0"/>
                <w:sz w:val="22"/>
              </w:rPr>
            </w:pPr>
          </w:p>
        </w:tc>
        <w:tc>
          <w:tcPr>
            <w:tcW w:w="1843" w:type="dxa"/>
            <w:tcBorders>
              <w:top w:val="nil"/>
              <w:left w:val="nil"/>
              <w:bottom w:val="single" w:color="auto" w:sz="4" w:space="0"/>
              <w:right w:val="single" w:color="auto" w:sz="4" w:space="0"/>
            </w:tcBorders>
            <w:noWrap/>
            <w:vAlign w:val="center"/>
          </w:tcPr>
          <w:p w14:paraId="5B65C13E">
            <w:pPr>
              <w:widowControl/>
              <w:jc w:val="left"/>
              <w:rPr>
                <w:rFonts w:ascii="Times New Roman" w:hAnsi="Times New Roman"/>
                <w:kern w:val="0"/>
                <w:sz w:val="22"/>
              </w:rPr>
            </w:pPr>
            <w:r>
              <w:rPr>
                <w:rFonts w:ascii="Times New Roman" w:hAnsi="Times New Roman"/>
                <w:kern w:val="0"/>
                <w:sz w:val="22"/>
              </w:rPr>
              <w:t>或技术研发成果优秀</w:t>
            </w:r>
          </w:p>
        </w:tc>
        <w:tc>
          <w:tcPr>
            <w:tcW w:w="4111" w:type="dxa"/>
            <w:tcBorders>
              <w:top w:val="nil"/>
              <w:left w:val="nil"/>
              <w:bottom w:val="single" w:color="auto" w:sz="4" w:space="0"/>
              <w:right w:val="single" w:color="auto" w:sz="4" w:space="0"/>
            </w:tcBorders>
            <w:vAlign w:val="center"/>
          </w:tcPr>
          <w:p w14:paraId="05783188">
            <w:pPr>
              <w:widowControl/>
              <w:jc w:val="left"/>
              <w:rPr>
                <w:rFonts w:ascii="Times New Roman" w:hAnsi="Times New Roman"/>
                <w:sz w:val="22"/>
              </w:rPr>
            </w:pPr>
            <w:r>
              <w:rPr>
                <w:rFonts w:ascii="Times New Roman" w:hAnsi="Times New Roman"/>
                <w:sz w:val="22"/>
              </w:rPr>
              <w:t>主持高新技术研发项目获得成功，</w:t>
            </w:r>
            <w:r>
              <w:rPr>
                <w:rFonts w:ascii="Times New Roman" w:hAnsi="Times New Roman"/>
                <w:kern w:val="0"/>
                <w:sz w:val="22"/>
              </w:rPr>
              <w:t>本人为第一位当年获得1项以上专利技术或发明授权。</w:t>
            </w:r>
          </w:p>
        </w:tc>
        <w:tc>
          <w:tcPr>
            <w:tcW w:w="3260" w:type="dxa"/>
            <w:tcBorders>
              <w:top w:val="nil"/>
              <w:left w:val="nil"/>
              <w:bottom w:val="single" w:color="auto" w:sz="4" w:space="0"/>
              <w:right w:val="single" w:color="auto" w:sz="4" w:space="0"/>
            </w:tcBorders>
            <w:vAlign w:val="center"/>
          </w:tcPr>
          <w:p w14:paraId="557C11DA">
            <w:pPr>
              <w:widowControl/>
              <w:jc w:val="left"/>
              <w:rPr>
                <w:rFonts w:ascii="Times New Roman" w:hAnsi="Times New Roman"/>
                <w:kern w:val="0"/>
                <w:sz w:val="22"/>
              </w:rPr>
            </w:pPr>
            <w:r>
              <w:rPr>
                <w:rFonts w:ascii="Times New Roman" w:hAnsi="Times New Roman"/>
                <w:kern w:val="0"/>
                <w:sz w:val="22"/>
              </w:rPr>
              <w:t>符合条件得满分，低于标准酌情扣分。</w:t>
            </w:r>
          </w:p>
        </w:tc>
        <w:tc>
          <w:tcPr>
            <w:tcW w:w="1701" w:type="dxa"/>
            <w:tcBorders>
              <w:top w:val="nil"/>
              <w:left w:val="nil"/>
              <w:bottom w:val="single" w:color="auto" w:sz="4" w:space="0"/>
              <w:right w:val="single" w:color="auto" w:sz="4" w:space="0"/>
            </w:tcBorders>
            <w:vAlign w:val="center"/>
          </w:tcPr>
          <w:p w14:paraId="75E5D122">
            <w:pPr>
              <w:widowControl/>
              <w:jc w:val="left"/>
              <w:rPr>
                <w:rFonts w:ascii="Times New Roman" w:hAnsi="Times New Roman"/>
                <w:kern w:val="0"/>
                <w:sz w:val="22"/>
              </w:rPr>
            </w:pPr>
            <w:r>
              <w:rPr>
                <w:rFonts w:ascii="Times New Roman" w:hAnsi="Times New Roman"/>
                <w:kern w:val="0"/>
                <w:sz w:val="22"/>
              </w:rPr>
              <w:t>1.申报材料</w:t>
            </w:r>
          </w:p>
          <w:p w14:paraId="0D6E7336">
            <w:pPr>
              <w:widowControl/>
              <w:jc w:val="left"/>
              <w:rPr>
                <w:rFonts w:ascii="Times New Roman" w:hAnsi="Times New Roman"/>
                <w:kern w:val="0"/>
                <w:sz w:val="22"/>
              </w:rPr>
            </w:pPr>
            <w:r>
              <w:rPr>
                <w:rFonts w:ascii="Times New Roman" w:hAnsi="Times New Roman"/>
                <w:kern w:val="0"/>
                <w:sz w:val="22"/>
              </w:rPr>
              <w:t>2.专利证书</w:t>
            </w:r>
          </w:p>
        </w:tc>
        <w:tc>
          <w:tcPr>
            <w:tcW w:w="1207" w:type="dxa"/>
            <w:tcBorders>
              <w:top w:val="nil"/>
              <w:left w:val="nil"/>
              <w:bottom w:val="single" w:color="auto" w:sz="4" w:space="0"/>
              <w:right w:val="single" w:color="auto" w:sz="4" w:space="0"/>
            </w:tcBorders>
          </w:tcPr>
          <w:p w14:paraId="401C1A25">
            <w:pPr>
              <w:widowControl/>
              <w:jc w:val="left"/>
              <w:rPr>
                <w:rFonts w:ascii="Times New Roman" w:hAnsi="Times New Roman"/>
                <w:kern w:val="0"/>
                <w:sz w:val="22"/>
              </w:rPr>
            </w:pPr>
          </w:p>
        </w:tc>
      </w:tr>
      <w:tr w14:paraId="761FB867">
        <w:tblPrEx>
          <w:tblCellMar>
            <w:top w:w="0" w:type="dxa"/>
            <w:left w:w="108" w:type="dxa"/>
            <w:bottom w:w="0" w:type="dxa"/>
            <w:right w:w="108" w:type="dxa"/>
          </w:tblCellMar>
        </w:tblPrEx>
        <w:trPr>
          <w:trHeight w:val="616" w:hRule="atLeast"/>
        </w:trPr>
        <w:tc>
          <w:tcPr>
            <w:tcW w:w="1217" w:type="dxa"/>
            <w:vMerge w:val="continue"/>
            <w:tcBorders>
              <w:left w:val="single" w:color="auto" w:sz="4" w:space="0"/>
              <w:right w:val="single" w:color="auto" w:sz="4" w:space="0"/>
            </w:tcBorders>
            <w:vAlign w:val="center"/>
          </w:tcPr>
          <w:p w14:paraId="504EEB24">
            <w:pPr>
              <w:widowControl/>
              <w:jc w:val="left"/>
              <w:rPr>
                <w:rFonts w:ascii="Times New Roman" w:hAnsi="Times New Roman"/>
                <w:kern w:val="0"/>
                <w:sz w:val="22"/>
              </w:rPr>
            </w:pPr>
          </w:p>
        </w:tc>
        <w:tc>
          <w:tcPr>
            <w:tcW w:w="1843" w:type="dxa"/>
            <w:tcBorders>
              <w:top w:val="nil"/>
              <w:left w:val="nil"/>
              <w:bottom w:val="single" w:color="auto" w:sz="4" w:space="0"/>
              <w:right w:val="single" w:color="auto" w:sz="4" w:space="0"/>
            </w:tcBorders>
            <w:noWrap/>
            <w:vAlign w:val="center"/>
          </w:tcPr>
          <w:p w14:paraId="1B1E89CF">
            <w:pPr>
              <w:widowControl/>
              <w:jc w:val="left"/>
              <w:rPr>
                <w:rFonts w:ascii="Times New Roman" w:hAnsi="Times New Roman"/>
                <w:kern w:val="0"/>
                <w:sz w:val="22"/>
              </w:rPr>
            </w:pPr>
            <w:r>
              <w:rPr>
                <w:rFonts w:ascii="Times New Roman" w:hAnsi="Times New Roman"/>
                <w:kern w:val="0"/>
                <w:sz w:val="22"/>
              </w:rPr>
              <w:t>或主导取得重要招商引资成果</w:t>
            </w:r>
          </w:p>
        </w:tc>
        <w:tc>
          <w:tcPr>
            <w:tcW w:w="4111" w:type="dxa"/>
            <w:tcBorders>
              <w:top w:val="nil"/>
              <w:left w:val="nil"/>
              <w:bottom w:val="single" w:color="auto" w:sz="4" w:space="0"/>
              <w:right w:val="single" w:color="auto" w:sz="4" w:space="0"/>
            </w:tcBorders>
            <w:vAlign w:val="center"/>
          </w:tcPr>
          <w:p w14:paraId="2424F0CB">
            <w:pPr>
              <w:widowControl/>
              <w:jc w:val="left"/>
              <w:rPr>
                <w:rFonts w:ascii="Times New Roman" w:hAnsi="Times New Roman"/>
                <w:sz w:val="22"/>
              </w:rPr>
            </w:pPr>
            <w:r>
              <w:rPr>
                <w:rFonts w:ascii="Times New Roman" w:hAnsi="Times New Roman"/>
                <w:sz w:val="22"/>
              </w:rPr>
              <w:t>主导完成招商引资合同额20亿元以上或当年新开工产业项目20亿元以上。</w:t>
            </w:r>
          </w:p>
        </w:tc>
        <w:tc>
          <w:tcPr>
            <w:tcW w:w="3260" w:type="dxa"/>
            <w:tcBorders>
              <w:top w:val="nil"/>
              <w:left w:val="nil"/>
              <w:bottom w:val="single" w:color="auto" w:sz="4" w:space="0"/>
              <w:right w:val="single" w:color="auto" w:sz="4" w:space="0"/>
            </w:tcBorders>
            <w:vAlign w:val="center"/>
          </w:tcPr>
          <w:p w14:paraId="1AC1523B">
            <w:pPr>
              <w:widowControl/>
              <w:jc w:val="left"/>
              <w:rPr>
                <w:rFonts w:ascii="Times New Roman" w:hAnsi="Times New Roman"/>
                <w:kern w:val="0"/>
                <w:sz w:val="22"/>
              </w:rPr>
            </w:pPr>
            <w:r>
              <w:rPr>
                <w:rFonts w:ascii="Times New Roman" w:hAnsi="Times New Roman"/>
                <w:kern w:val="0"/>
                <w:sz w:val="22"/>
              </w:rPr>
              <w:t>符合条件得满分，低于标准酌情扣分。</w:t>
            </w:r>
          </w:p>
        </w:tc>
        <w:tc>
          <w:tcPr>
            <w:tcW w:w="1701" w:type="dxa"/>
            <w:tcBorders>
              <w:top w:val="nil"/>
              <w:left w:val="nil"/>
              <w:bottom w:val="single" w:color="auto" w:sz="4" w:space="0"/>
              <w:right w:val="single" w:color="auto" w:sz="4" w:space="0"/>
            </w:tcBorders>
            <w:vAlign w:val="center"/>
          </w:tcPr>
          <w:p w14:paraId="354B0756">
            <w:pPr>
              <w:widowControl/>
              <w:numPr>
                <w:ilvl w:val="0"/>
                <w:numId w:val="1"/>
              </w:numPr>
              <w:ind w:left="391"/>
              <w:jc w:val="left"/>
              <w:rPr>
                <w:rFonts w:ascii="Times New Roman" w:hAnsi="Times New Roman"/>
                <w:kern w:val="0"/>
                <w:sz w:val="22"/>
              </w:rPr>
            </w:pPr>
            <w:r>
              <w:rPr>
                <w:rFonts w:ascii="Times New Roman" w:hAnsi="Times New Roman"/>
                <w:kern w:val="0"/>
                <w:sz w:val="22"/>
              </w:rPr>
              <w:t>申报材料</w:t>
            </w:r>
          </w:p>
          <w:p w14:paraId="17282ABF">
            <w:pPr>
              <w:widowControl/>
              <w:jc w:val="left"/>
              <w:rPr>
                <w:rFonts w:ascii="Times New Roman" w:hAnsi="Times New Roman"/>
                <w:kern w:val="0"/>
                <w:sz w:val="22"/>
              </w:rPr>
            </w:pPr>
            <w:r>
              <w:rPr>
                <w:rFonts w:ascii="Times New Roman" w:hAnsi="Times New Roman"/>
                <w:kern w:val="0"/>
                <w:sz w:val="22"/>
              </w:rPr>
              <w:t>2.投资合同等证明材料</w:t>
            </w:r>
          </w:p>
        </w:tc>
        <w:tc>
          <w:tcPr>
            <w:tcW w:w="1207" w:type="dxa"/>
            <w:tcBorders>
              <w:top w:val="nil"/>
              <w:left w:val="nil"/>
              <w:bottom w:val="single" w:color="auto" w:sz="4" w:space="0"/>
              <w:right w:val="single" w:color="auto" w:sz="4" w:space="0"/>
            </w:tcBorders>
          </w:tcPr>
          <w:p w14:paraId="3EECF53E">
            <w:pPr>
              <w:widowControl/>
              <w:jc w:val="left"/>
              <w:rPr>
                <w:rFonts w:ascii="Times New Roman" w:hAnsi="Times New Roman"/>
                <w:kern w:val="0"/>
                <w:sz w:val="22"/>
              </w:rPr>
            </w:pPr>
          </w:p>
        </w:tc>
      </w:tr>
      <w:tr w14:paraId="2413C4CA">
        <w:tblPrEx>
          <w:tblCellMar>
            <w:top w:w="0" w:type="dxa"/>
            <w:left w:w="108" w:type="dxa"/>
            <w:bottom w:w="0" w:type="dxa"/>
            <w:right w:w="108" w:type="dxa"/>
          </w:tblCellMar>
        </w:tblPrEx>
        <w:trPr>
          <w:trHeight w:val="616" w:hRule="atLeast"/>
        </w:trPr>
        <w:tc>
          <w:tcPr>
            <w:tcW w:w="1217" w:type="dxa"/>
            <w:vMerge w:val="continue"/>
            <w:tcBorders>
              <w:left w:val="single" w:color="auto" w:sz="4" w:space="0"/>
              <w:right w:val="single" w:color="auto" w:sz="4" w:space="0"/>
            </w:tcBorders>
            <w:vAlign w:val="center"/>
          </w:tcPr>
          <w:p w14:paraId="7B1ED0B0">
            <w:pPr>
              <w:widowControl/>
              <w:jc w:val="left"/>
              <w:rPr>
                <w:rFonts w:ascii="Times New Roman" w:hAnsi="Times New Roman"/>
                <w:kern w:val="0"/>
                <w:sz w:val="22"/>
              </w:rPr>
            </w:pPr>
          </w:p>
        </w:tc>
        <w:tc>
          <w:tcPr>
            <w:tcW w:w="1843" w:type="dxa"/>
            <w:tcBorders>
              <w:top w:val="nil"/>
              <w:left w:val="nil"/>
              <w:bottom w:val="single" w:color="auto" w:sz="4" w:space="0"/>
              <w:right w:val="single" w:color="auto" w:sz="4" w:space="0"/>
            </w:tcBorders>
            <w:noWrap/>
            <w:vAlign w:val="center"/>
          </w:tcPr>
          <w:p w14:paraId="6BA16563">
            <w:pPr>
              <w:widowControl/>
              <w:jc w:val="left"/>
              <w:rPr>
                <w:rFonts w:ascii="Times New Roman" w:hAnsi="Times New Roman"/>
                <w:kern w:val="0"/>
                <w:sz w:val="22"/>
              </w:rPr>
            </w:pPr>
            <w:r>
              <w:rPr>
                <w:rFonts w:ascii="Times New Roman" w:hAnsi="Times New Roman"/>
                <w:kern w:val="0"/>
                <w:sz w:val="22"/>
              </w:rPr>
              <w:t>或市场营销业绩较为突出</w:t>
            </w:r>
          </w:p>
        </w:tc>
        <w:tc>
          <w:tcPr>
            <w:tcW w:w="4111" w:type="dxa"/>
            <w:tcBorders>
              <w:top w:val="nil"/>
              <w:left w:val="nil"/>
              <w:bottom w:val="single" w:color="auto" w:sz="4" w:space="0"/>
              <w:right w:val="single" w:color="auto" w:sz="4" w:space="0"/>
            </w:tcBorders>
            <w:vAlign w:val="center"/>
          </w:tcPr>
          <w:p w14:paraId="0319D555">
            <w:pPr>
              <w:widowControl/>
              <w:jc w:val="left"/>
              <w:rPr>
                <w:rFonts w:ascii="Times New Roman" w:hAnsi="Times New Roman"/>
                <w:sz w:val="22"/>
              </w:rPr>
            </w:pPr>
            <w:r>
              <w:rPr>
                <w:rFonts w:ascii="Times New Roman" w:hAnsi="Times New Roman"/>
                <w:sz w:val="22"/>
              </w:rPr>
              <w:t>本人主导开发市场渠道，近年销售复合增长率超过20%。</w:t>
            </w:r>
          </w:p>
        </w:tc>
        <w:tc>
          <w:tcPr>
            <w:tcW w:w="3260" w:type="dxa"/>
            <w:tcBorders>
              <w:top w:val="nil"/>
              <w:left w:val="nil"/>
              <w:bottom w:val="single" w:color="auto" w:sz="4" w:space="0"/>
              <w:right w:val="single" w:color="auto" w:sz="4" w:space="0"/>
            </w:tcBorders>
            <w:vAlign w:val="center"/>
          </w:tcPr>
          <w:p w14:paraId="548C55A6">
            <w:pPr>
              <w:widowControl/>
              <w:jc w:val="left"/>
              <w:rPr>
                <w:rFonts w:ascii="Times New Roman" w:hAnsi="Times New Roman"/>
                <w:kern w:val="0"/>
                <w:sz w:val="22"/>
              </w:rPr>
            </w:pPr>
            <w:r>
              <w:rPr>
                <w:rFonts w:ascii="Times New Roman" w:hAnsi="Times New Roman"/>
                <w:kern w:val="0"/>
                <w:sz w:val="22"/>
              </w:rPr>
              <w:t>符合条件得满分，低于标准酌情扣分。</w:t>
            </w:r>
          </w:p>
        </w:tc>
        <w:tc>
          <w:tcPr>
            <w:tcW w:w="1701" w:type="dxa"/>
            <w:tcBorders>
              <w:top w:val="nil"/>
              <w:left w:val="nil"/>
              <w:bottom w:val="single" w:color="auto" w:sz="4" w:space="0"/>
              <w:right w:val="single" w:color="auto" w:sz="4" w:space="0"/>
            </w:tcBorders>
            <w:vAlign w:val="center"/>
          </w:tcPr>
          <w:p w14:paraId="7E77369C">
            <w:pPr>
              <w:widowControl/>
              <w:numPr>
                <w:ilvl w:val="0"/>
                <w:numId w:val="2"/>
              </w:numPr>
              <w:jc w:val="left"/>
              <w:rPr>
                <w:rFonts w:ascii="Times New Roman" w:hAnsi="Times New Roman"/>
                <w:kern w:val="0"/>
                <w:sz w:val="22"/>
              </w:rPr>
            </w:pPr>
            <w:r>
              <w:rPr>
                <w:rFonts w:ascii="Times New Roman" w:hAnsi="Times New Roman"/>
                <w:kern w:val="0"/>
                <w:sz w:val="22"/>
              </w:rPr>
              <w:t>申报材料</w:t>
            </w:r>
          </w:p>
          <w:p w14:paraId="3FC3106D">
            <w:pPr>
              <w:widowControl/>
              <w:jc w:val="left"/>
              <w:rPr>
                <w:rFonts w:ascii="Times New Roman" w:hAnsi="Times New Roman"/>
                <w:kern w:val="0"/>
                <w:sz w:val="22"/>
              </w:rPr>
            </w:pPr>
            <w:r>
              <w:rPr>
                <w:rFonts w:ascii="Times New Roman" w:hAnsi="Times New Roman"/>
                <w:kern w:val="0"/>
                <w:sz w:val="22"/>
              </w:rPr>
              <w:t>2.证明材料</w:t>
            </w:r>
          </w:p>
        </w:tc>
        <w:tc>
          <w:tcPr>
            <w:tcW w:w="1207" w:type="dxa"/>
            <w:tcBorders>
              <w:top w:val="nil"/>
              <w:left w:val="nil"/>
              <w:bottom w:val="single" w:color="auto" w:sz="4" w:space="0"/>
              <w:right w:val="single" w:color="auto" w:sz="4" w:space="0"/>
            </w:tcBorders>
          </w:tcPr>
          <w:p w14:paraId="781F603F">
            <w:pPr>
              <w:widowControl/>
              <w:jc w:val="left"/>
              <w:rPr>
                <w:rFonts w:ascii="Times New Roman" w:hAnsi="Times New Roman"/>
                <w:kern w:val="0"/>
                <w:sz w:val="22"/>
              </w:rPr>
            </w:pPr>
          </w:p>
        </w:tc>
      </w:tr>
      <w:tr w14:paraId="04B20DC0">
        <w:tblPrEx>
          <w:tblCellMar>
            <w:top w:w="0" w:type="dxa"/>
            <w:left w:w="108" w:type="dxa"/>
            <w:bottom w:w="0" w:type="dxa"/>
            <w:right w:w="108" w:type="dxa"/>
          </w:tblCellMar>
        </w:tblPrEx>
        <w:trPr>
          <w:trHeight w:val="616" w:hRule="atLeast"/>
        </w:trPr>
        <w:tc>
          <w:tcPr>
            <w:tcW w:w="1217" w:type="dxa"/>
            <w:vMerge w:val="continue"/>
            <w:tcBorders>
              <w:left w:val="single" w:color="auto" w:sz="4" w:space="0"/>
              <w:right w:val="single" w:color="auto" w:sz="4" w:space="0"/>
            </w:tcBorders>
            <w:vAlign w:val="center"/>
          </w:tcPr>
          <w:p w14:paraId="24F0C3B6">
            <w:pPr>
              <w:widowControl/>
              <w:jc w:val="left"/>
              <w:rPr>
                <w:rFonts w:ascii="Times New Roman" w:hAnsi="Times New Roman"/>
                <w:kern w:val="0"/>
                <w:sz w:val="22"/>
              </w:rPr>
            </w:pPr>
          </w:p>
        </w:tc>
        <w:tc>
          <w:tcPr>
            <w:tcW w:w="1843" w:type="dxa"/>
            <w:tcBorders>
              <w:top w:val="nil"/>
              <w:left w:val="nil"/>
              <w:bottom w:val="single" w:color="auto" w:sz="4" w:space="0"/>
              <w:right w:val="single" w:color="auto" w:sz="4" w:space="0"/>
            </w:tcBorders>
            <w:noWrap/>
            <w:vAlign w:val="center"/>
          </w:tcPr>
          <w:p w14:paraId="0983AC29">
            <w:pPr>
              <w:widowControl/>
              <w:jc w:val="left"/>
              <w:rPr>
                <w:rFonts w:ascii="Times New Roman" w:hAnsi="Times New Roman"/>
                <w:kern w:val="0"/>
                <w:sz w:val="22"/>
              </w:rPr>
            </w:pPr>
            <w:r>
              <w:rPr>
                <w:rFonts w:ascii="Times New Roman" w:hAnsi="Times New Roman"/>
                <w:kern w:val="0"/>
                <w:sz w:val="22"/>
              </w:rPr>
              <w:t>或经济/管理理论成果优良</w:t>
            </w:r>
          </w:p>
        </w:tc>
        <w:tc>
          <w:tcPr>
            <w:tcW w:w="4111" w:type="dxa"/>
            <w:tcBorders>
              <w:top w:val="nil"/>
              <w:left w:val="nil"/>
              <w:bottom w:val="single" w:color="auto" w:sz="4" w:space="0"/>
              <w:right w:val="single" w:color="auto" w:sz="4" w:space="0"/>
            </w:tcBorders>
            <w:vAlign w:val="center"/>
          </w:tcPr>
          <w:p w14:paraId="5E5FB553">
            <w:pPr>
              <w:widowControl/>
              <w:jc w:val="left"/>
              <w:rPr>
                <w:rFonts w:ascii="Times New Roman" w:hAnsi="Times New Roman"/>
                <w:sz w:val="22"/>
              </w:rPr>
            </w:pPr>
            <w:r>
              <w:rPr>
                <w:rFonts w:ascii="Times New Roman" w:hAnsi="Times New Roman"/>
                <w:sz w:val="22"/>
              </w:rPr>
              <w:t>做出经济/管理理论原始创新成果，出版有影响力的经济管理方面的著作或论文并获得市级一等以上成果奖。</w:t>
            </w:r>
          </w:p>
        </w:tc>
        <w:tc>
          <w:tcPr>
            <w:tcW w:w="3260" w:type="dxa"/>
            <w:tcBorders>
              <w:top w:val="nil"/>
              <w:left w:val="nil"/>
              <w:bottom w:val="single" w:color="auto" w:sz="4" w:space="0"/>
              <w:right w:val="single" w:color="auto" w:sz="4" w:space="0"/>
            </w:tcBorders>
            <w:vAlign w:val="center"/>
          </w:tcPr>
          <w:p w14:paraId="3E7DA5EB">
            <w:pPr>
              <w:widowControl/>
              <w:jc w:val="left"/>
              <w:rPr>
                <w:rFonts w:ascii="Times New Roman" w:hAnsi="Times New Roman"/>
                <w:kern w:val="0"/>
                <w:sz w:val="22"/>
              </w:rPr>
            </w:pPr>
            <w:r>
              <w:rPr>
                <w:rFonts w:ascii="Times New Roman" w:hAnsi="Times New Roman"/>
                <w:kern w:val="0"/>
                <w:sz w:val="22"/>
              </w:rPr>
              <w:t>符合条件得满分，其他不得分。</w:t>
            </w:r>
          </w:p>
        </w:tc>
        <w:tc>
          <w:tcPr>
            <w:tcW w:w="1701" w:type="dxa"/>
            <w:tcBorders>
              <w:top w:val="nil"/>
              <w:left w:val="nil"/>
              <w:bottom w:val="single" w:color="auto" w:sz="4" w:space="0"/>
              <w:right w:val="single" w:color="auto" w:sz="4" w:space="0"/>
            </w:tcBorders>
            <w:vAlign w:val="center"/>
          </w:tcPr>
          <w:p w14:paraId="1DB8DE00">
            <w:pPr>
              <w:widowControl/>
              <w:numPr>
                <w:ilvl w:val="0"/>
                <w:numId w:val="3"/>
              </w:numPr>
              <w:jc w:val="left"/>
              <w:rPr>
                <w:rFonts w:ascii="Times New Roman" w:hAnsi="Times New Roman"/>
                <w:kern w:val="0"/>
                <w:sz w:val="22"/>
              </w:rPr>
            </w:pPr>
            <w:r>
              <w:rPr>
                <w:rFonts w:ascii="Times New Roman" w:hAnsi="Times New Roman"/>
                <w:kern w:val="0"/>
                <w:sz w:val="22"/>
              </w:rPr>
              <w:t>申报材料</w:t>
            </w:r>
          </w:p>
          <w:p w14:paraId="1DFF554B">
            <w:pPr>
              <w:widowControl/>
              <w:jc w:val="left"/>
              <w:rPr>
                <w:rFonts w:ascii="Times New Roman" w:hAnsi="Times New Roman"/>
                <w:kern w:val="0"/>
                <w:sz w:val="22"/>
              </w:rPr>
            </w:pPr>
            <w:r>
              <w:rPr>
                <w:rFonts w:ascii="Times New Roman" w:hAnsi="Times New Roman"/>
                <w:kern w:val="0"/>
                <w:sz w:val="22"/>
              </w:rPr>
              <w:t>2.获奖证书</w:t>
            </w:r>
          </w:p>
        </w:tc>
        <w:tc>
          <w:tcPr>
            <w:tcW w:w="1207" w:type="dxa"/>
            <w:tcBorders>
              <w:top w:val="nil"/>
              <w:left w:val="nil"/>
              <w:bottom w:val="single" w:color="auto" w:sz="4" w:space="0"/>
              <w:right w:val="single" w:color="auto" w:sz="4" w:space="0"/>
            </w:tcBorders>
          </w:tcPr>
          <w:p w14:paraId="18EC9BDD">
            <w:pPr>
              <w:widowControl/>
              <w:jc w:val="left"/>
              <w:rPr>
                <w:rFonts w:ascii="Times New Roman" w:hAnsi="Times New Roman"/>
                <w:kern w:val="0"/>
                <w:sz w:val="22"/>
              </w:rPr>
            </w:pPr>
          </w:p>
        </w:tc>
      </w:tr>
      <w:tr w14:paraId="70738E87">
        <w:tblPrEx>
          <w:tblCellMar>
            <w:top w:w="0" w:type="dxa"/>
            <w:left w:w="108" w:type="dxa"/>
            <w:bottom w:w="0" w:type="dxa"/>
            <w:right w:w="108" w:type="dxa"/>
          </w:tblCellMar>
        </w:tblPrEx>
        <w:trPr>
          <w:trHeight w:val="616" w:hRule="atLeast"/>
        </w:trPr>
        <w:tc>
          <w:tcPr>
            <w:tcW w:w="1217" w:type="dxa"/>
            <w:vMerge w:val="continue"/>
            <w:tcBorders>
              <w:left w:val="single" w:color="auto" w:sz="4" w:space="0"/>
              <w:right w:val="single" w:color="auto" w:sz="4" w:space="0"/>
            </w:tcBorders>
            <w:vAlign w:val="center"/>
          </w:tcPr>
          <w:p w14:paraId="737319BD">
            <w:pPr>
              <w:widowControl/>
              <w:jc w:val="left"/>
              <w:rPr>
                <w:rFonts w:ascii="Times New Roman" w:hAnsi="Times New Roman"/>
                <w:kern w:val="0"/>
                <w:sz w:val="22"/>
              </w:rPr>
            </w:pPr>
          </w:p>
        </w:tc>
        <w:tc>
          <w:tcPr>
            <w:tcW w:w="1843" w:type="dxa"/>
            <w:tcBorders>
              <w:top w:val="nil"/>
              <w:left w:val="nil"/>
              <w:bottom w:val="single" w:color="auto" w:sz="4" w:space="0"/>
              <w:right w:val="single" w:color="auto" w:sz="4" w:space="0"/>
            </w:tcBorders>
            <w:noWrap/>
            <w:vAlign w:val="center"/>
          </w:tcPr>
          <w:p w14:paraId="465F432F">
            <w:pPr>
              <w:widowControl/>
              <w:jc w:val="left"/>
              <w:rPr>
                <w:rFonts w:ascii="Times New Roman" w:hAnsi="Times New Roman"/>
                <w:kern w:val="0"/>
                <w:sz w:val="22"/>
              </w:rPr>
            </w:pPr>
            <w:r>
              <w:rPr>
                <w:rFonts w:ascii="Times New Roman" w:hAnsi="Times New Roman"/>
                <w:kern w:val="0"/>
                <w:sz w:val="22"/>
              </w:rPr>
              <w:t>投资与资本贡献良好</w:t>
            </w:r>
          </w:p>
        </w:tc>
        <w:tc>
          <w:tcPr>
            <w:tcW w:w="4111" w:type="dxa"/>
            <w:tcBorders>
              <w:top w:val="nil"/>
              <w:left w:val="nil"/>
              <w:bottom w:val="single" w:color="auto" w:sz="4" w:space="0"/>
              <w:right w:val="single" w:color="auto" w:sz="4" w:space="0"/>
            </w:tcBorders>
            <w:vAlign w:val="center"/>
          </w:tcPr>
          <w:p w14:paraId="4113CBAF">
            <w:pPr>
              <w:widowControl/>
              <w:jc w:val="left"/>
              <w:rPr>
                <w:rFonts w:ascii="Times New Roman" w:hAnsi="Times New Roman"/>
                <w:kern w:val="0"/>
                <w:sz w:val="22"/>
              </w:rPr>
            </w:pPr>
            <w:r>
              <w:rPr>
                <w:rFonts w:ascii="Times New Roman" w:hAnsi="Times New Roman"/>
                <w:kern w:val="0"/>
                <w:sz w:val="22"/>
              </w:rPr>
              <w:t>综合性金融公司基金或股权投资或并购超10亿元/年；或私募股权投资1亿元/年；或作为天使或基石投资者支持IPO成功1家以上。</w:t>
            </w:r>
          </w:p>
        </w:tc>
        <w:tc>
          <w:tcPr>
            <w:tcW w:w="3260" w:type="dxa"/>
            <w:tcBorders>
              <w:top w:val="nil"/>
              <w:left w:val="nil"/>
              <w:bottom w:val="single" w:color="auto" w:sz="4" w:space="0"/>
              <w:right w:val="single" w:color="auto" w:sz="4" w:space="0"/>
            </w:tcBorders>
            <w:vAlign w:val="center"/>
          </w:tcPr>
          <w:p w14:paraId="64895907">
            <w:pPr>
              <w:widowControl/>
              <w:jc w:val="left"/>
              <w:rPr>
                <w:rFonts w:ascii="Times New Roman" w:hAnsi="Times New Roman"/>
                <w:kern w:val="0"/>
                <w:sz w:val="22"/>
              </w:rPr>
            </w:pPr>
            <w:r>
              <w:rPr>
                <w:rFonts w:ascii="Times New Roman" w:hAnsi="Times New Roman"/>
                <w:kern w:val="0"/>
                <w:sz w:val="22"/>
              </w:rPr>
              <w:t>达到标准得满分，其他酌情扣分。</w:t>
            </w:r>
          </w:p>
        </w:tc>
        <w:tc>
          <w:tcPr>
            <w:tcW w:w="1701" w:type="dxa"/>
            <w:tcBorders>
              <w:top w:val="nil"/>
              <w:left w:val="nil"/>
              <w:bottom w:val="single" w:color="auto" w:sz="4" w:space="0"/>
              <w:right w:val="single" w:color="auto" w:sz="4" w:space="0"/>
            </w:tcBorders>
            <w:vAlign w:val="center"/>
          </w:tcPr>
          <w:p w14:paraId="40664911">
            <w:pPr>
              <w:widowControl/>
              <w:numPr>
                <w:ilvl w:val="0"/>
                <w:numId w:val="4"/>
              </w:numPr>
              <w:jc w:val="left"/>
              <w:rPr>
                <w:rFonts w:ascii="Times New Roman" w:hAnsi="Times New Roman"/>
                <w:kern w:val="0"/>
                <w:sz w:val="22"/>
              </w:rPr>
            </w:pPr>
            <w:r>
              <w:rPr>
                <w:rFonts w:ascii="Times New Roman" w:hAnsi="Times New Roman"/>
                <w:kern w:val="0"/>
                <w:sz w:val="22"/>
              </w:rPr>
              <w:t>申报材料</w:t>
            </w:r>
          </w:p>
          <w:p w14:paraId="63390CC9">
            <w:pPr>
              <w:widowControl/>
              <w:numPr>
                <w:ilvl w:val="0"/>
                <w:numId w:val="4"/>
              </w:numPr>
              <w:jc w:val="left"/>
              <w:rPr>
                <w:rFonts w:ascii="Times New Roman" w:hAnsi="Times New Roman"/>
                <w:kern w:val="0"/>
                <w:sz w:val="22"/>
              </w:rPr>
            </w:pPr>
            <w:r>
              <w:rPr>
                <w:rFonts w:ascii="Times New Roman" w:hAnsi="Times New Roman"/>
                <w:kern w:val="0"/>
                <w:sz w:val="22"/>
              </w:rPr>
              <w:t>投资合同</w:t>
            </w:r>
          </w:p>
        </w:tc>
        <w:tc>
          <w:tcPr>
            <w:tcW w:w="1207" w:type="dxa"/>
            <w:tcBorders>
              <w:top w:val="nil"/>
              <w:left w:val="nil"/>
              <w:bottom w:val="single" w:color="auto" w:sz="4" w:space="0"/>
              <w:right w:val="single" w:color="auto" w:sz="4" w:space="0"/>
            </w:tcBorders>
          </w:tcPr>
          <w:p w14:paraId="11FCDC15">
            <w:pPr>
              <w:widowControl/>
              <w:jc w:val="left"/>
              <w:rPr>
                <w:rFonts w:ascii="Times New Roman" w:hAnsi="Times New Roman"/>
                <w:kern w:val="0"/>
                <w:sz w:val="22"/>
              </w:rPr>
            </w:pPr>
          </w:p>
        </w:tc>
      </w:tr>
      <w:tr w14:paraId="10A7BB5E">
        <w:tblPrEx>
          <w:tblCellMar>
            <w:top w:w="0" w:type="dxa"/>
            <w:left w:w="108" w:type="dxa"/>
            <w:bottom w:w="0" w:type="dxa"/>
            <w:right w:w="108" w:type="dxa"/>
          </w:tblCellMar>
        </w:tblPrEx>
        <w:trPr>
          <w:trHeight w:val="616" w:hRule="atLeast"/>
        </w:trPr>
        <w:tc>
          <w:tcPr>
            <w:tcW w:w="1217" w:type="dxa"/>
            <w:vMerge w:val="continue"/>
            <w:tcBorders>
              <w:left w:val="single" w:color="auto" w:sz="4" w:space="0"/>
              <w:bottom w:val="single" w:color="auto" w:sz="4" w:space="0"/>
              <w:right w:val="single" w:color="auto" w:sz="4" w:space="0"/>
            </w:tcBorders>
            <w:vAlign w:val="center"/>
          </w:tcPr>
          <w:p w14:paraId="0076E18C">
            <w:pPr>
              <w:widowControl/>
              <w:jc w:val="left"/>
              <w:rPr>
                <w:rFonts w:ascii="Times New Roman" w:hAnsi="Times New Roman"/>
                <w:kern w:val="0"/>
                <w:sz w:val="22"/>
              </w:rPr>
            </w:pPr>
          </w:p>
        </w:tc>
        <w:tc>
          <w:tcPr>
            <w:tcW w:w="1843" w:type="dxa"/>
            <w:tcBorders>
              <w:top w:val="nil"/>
              <w:left w:val="nil"/>
              <w:bottom w:val="single" w:color="auto" w:sz="4" w:space="0"/>
              <w:right w:val="single" w:color="auto" w:sz="4" w:space="0"/>
            </w:tcBorders>
            <w:noWrap/>
            <w:vAlign w:val="center"/>
          </w:tcPr>
          <w:p w14:paraId="5A792E5B">
            <w:pPr>
              <w:widowControl/>
              <w:jc w:val="left"/>
              <w:rPr>
                <w:rFonts w:ascii="Times New Roman" w:hAnsi="Times New Roman"/>
                <w:kern w:val="0"/>
                <w:sz w:val="22"/>
              </w:rPr>
            </w:pPr>
            <w:r>
              <w:rPr>
                <w:rFonts w:ascii="Times New Roman" w:hAnsi="Times New Roman"/>
                <w:kern w:val="0"/>
                <w:sz w:val="22"/>
              </w:rPr>
              <w:t>中介服务业绩优秀</w:t>
            </w:r>
          </w:p>
        </w:tc>
        <w:tc>
          <w:tcPr>
            <w:tcW w:w="4111" w:type="dxa"/>
            <w:tcBorders>
              <w:top w:val="nil"/>
              <w:left w:val="nil"/>
              <w:bottom w:val="single" w:color="auto" w:sz="4" w:space="0"/>
              <w:right w:val="single" w:color="auto" w:sz="4" w:space="0"/>
            </w:tcBorders>
            <w:vAlign w:val="center"/>
          </w:tcPr>
          <w:p w14:paraId="5B03CE80">
            <w:pPr>
              <w:widowControl/>
              <w:jc w:val="left"/>
              <w:rPr>
                <w:rFonts w:ascii="Times New Roman" w:hAnsi="Times New Roman"/>
                <w:kern w:val="0"/>
                <w:sz w:val="22"/>
              </w:rPr>
            </w:pPr>
            <w:r>
              <w:rPr>
                <w:rFonts w:ascii="Times New Roman" w:hAnsi="Times New Roman"/>
                <w:kern w:val="0"/>
                <w:sz w:val="22"/>
              </w:rPr>
              <w:t>进入全省或全国行业排名前200位，或者获得行业承认的高层次荣誉称号。</w:t>
            </w:r>
          </w:p>
        </w:tc>
        <w:tc>
          <w:tcPr>
            <w:tcW w:w="3260" w:type="dxa"/>
            <w:tcBorders>
              <w:top w:val="nil"/>
              <w:left w:val="nil"/>
              <w:bottom w:val="single" w:color="auto" w:sz="4" w:space="0"/>
              <w:right w:val="single" w:color="auto" w:sz="4" w:space="0"/>
            </w:tcBorders>
            <w:vAlign w:val="center"/>
          </w:tcPr>
          <w:p w14:paraId="107195E3">
            <w:pPr>
              <w:widowControl/>
              <w:jc w:val="left"/>
              <w:rPr>
                <w:rFonts w:ascii="Times New Roman" w:hAnsi="Times New Roman"/>
                <w:kern w:val="0"/>
                <w:sz w:val="22"/>
              </w:rPr>
            </w:pPr>
            <w:r>
              <w:rPr>
                <w:rFonts w:ascii="Times New Roman" w:hAnsi="Times New Roman"/>
                <w:kern w:val="0"/>
                <w:sz w:val="22"/>
              </w:rPr>
              <w:t>达到标准得满分，其他酌情扣分。</w:t>
            </w:r>
          </w:p>
        </w:tc>
        <w:tc>
          <w:tcPr>
            <w:tcW w:w="1701" w:type="dxa"/>
            <w:tcBorders>
              <w:top w:val="nil"/>
              <w:left w:val="nil"/>
              <w:bottom w:val="single" w:color="auto" w:sz="4" w:space="0"/>
              <w:right w:val="single" w:color="auto" w:sz="4" w:space="0"/>
            </w:tcBorders>
            <w:vAlign w:val="center"/>
          </w:tcPr>
          <w:p w14:paraId="6B405F35">
            <w:pPr>
              <w:widowControl/>
              <w:numPr>
                <w:ilvl w:val="0"/>
                <w:numId w:val="5"/>
              </w:numPr>
              <w:jc w:val="left"/>
              <w:rPr>
                <w:rFonts w:ascii="Times New Roman" w:hAnsi="Times New Roman"/>
                <w:kern w:val="0"/>
                <w:sz w:val="22"/>
              </w:rPr>
            </w:pPr>
            <w:r>
              <w:rPr>
                <w:rFonts w:ascii="Times New Roman" w:hAnsi="Times New Roman"/>
                <w:kern w:val="0"/>
                <w:sz w:val="22"/>
              </w:rPr>
              <w:t>申报材料</w:t>
            </w:r>
          </w:p>
          <w:p w14:paraId="463F3511">
            <w:pPr>
              <w:widowControl/>
              <w:numPr>
                <w:ilvl w:val="0"/>
                <w:numId w:val="5"/>
              </w:numPr>
              <w:jc w:val="left"/>
              <w:rPr>
                <w:rFonts w:ascii="Times New Roman" w:hAnsi="Times New Roman"/>
                <w:kern w:val="0"/>
                <w:sz w:val="22"/>
              </w:rPr>
            </w:pPr>
            <w:r>
              <w:rPr>
                <w:rFonts w:ascii="Times New Roman" w:hAnsi="Times New Roman"/>
                <w:kern w:val="0"/>
                <w:sz w:val="22"/>
              </w:rPr>
              <w:t>荣誉证书</w:t>
            </w:r>
          </w:p>
        </w:tc>
        <w:tc>
          <w:tcPr>
            <w:tcW w:w="1207" w:type="dxa"/>
            <w:tcBorders>
              <w:top w:val="nil"/>
              <w:left w:val="nil"/>
              <w:bottom w:val="single" w:color="auto" w:sz="4" w:space="0"/>
              <w:right w:val="single" w:color="auto" w:sz="4" w:space="0"/>
            </w:tcBorders>
          </w:tcPr>
          <w:p w14:paraId="7736E261">
            <w:pPr>
              <w:widowControl/>
              <w:jc w:val="left"/>
              <w:rPr>
                <w:rFonts w:ascii="Times New Roman" w:hAnsi="Times New Roman"/>
                <w:kern w:val="0"/>
                <w:sz w:val="22"/>
              </w:rPr>
            </w:pPr>
          </w:p>
        </w:tc>
      </w:tr>
      <w:tr w14:paraId="229F76CB">
        <w:tblPrEx>
          <w:tblCellMar>
            <w:top w:w="0" w:type="dxa"/>
            <w:left w:w="108" w:type="dxa"/>
            <w:bottom w:w="0" w:type="dxa"/>
            <w:right w:w="108" w:type="dxa"/>
          </w:tblCellMar>
        </w:tblPrEx>
        <w:trPr>
          <w:trHeight w:val="600" w:hRule="atLeast"/>
        </w:trPr>
        <w:tc>
          <w:tcPr>
            <w:tcW w:w="1217" w:type="dxa"/>
            <w:vMerge w:val="restart"/>
            <w:tcBorders>
              <w:top w:val="nil"/>
              <w:left w:val="single" w:color="auto" w:sz="4" w:space="0"/>
              <w:right w:val="single" w:color="auto" w:sz="4" w:space="0"/>
            </w:tcBorders>
            <w:vAlign w:val="center"/>
          </w:tcPr>
          <w:p w14:paraId="1D25539B">
            <w:pPr>
              <w:widowControl/>
              <w:jc w:val="left"/>
              <w:rPr>
                <w:rFonts w:ascii="Times New Roman" w:hAnsi="Times New Roman"/>
                <w:kern w:val="0"/>
                <w:sz w:val="22"/>
              </w:rPr>
            </w:pPr>
            <w:r>
              <w:rPr>
                <w:rFonts w:ascii="Times New Roman" w:hAnsi="Times New Roman"/>
                <w:kern w:val="0"/>
                <w:sz w:val="22"/>
              </w:rPr>
              <w:t>单位评价、社会影响与责任担当（25分）</w:t>
            </w:r>
          </w:p>
        </w:tc>
        <w:tc>
          <w:tcPr>
            <w:tcW w:w="1843" w:type="dxa"/>
            <w:tcBorders>
              <w:top w:val="nil"/>
              <w:left w:val="nil"/>
              <w:bottom w:val="single" w:color="auto" w:sz="4" w:space="0"/>
              <w:right w:val="single" w:color="auto" w:sz="4" w:space="0"/>
            </w:tcBorders>
            <w:noWrap/>
            <w:vAlign w:val="center"/>
          </w:tcPr>
          <w:p w14:paraId="2BEA268B">
            <w:pPr>
              <w:widowControl/>
              <w:jc w:val="left"/>
              <w:rPr>
                <w:rFonts w:ascii="Times New Roman" w:hAnsi="Times New Roman"/>
                <w:kern w:val="0"/>
                <w:sz w:val="22"/>
              </w:rPr>
            </w:pPr>
            <w:r>
              <w:rPr>
                <w:rFonts w:ascii="Times New Roman" w:hAnsi="Times New Roman"/>
                <w:kern w:val="0"/>
                <w:sz w:val="22"/>
              </w:rPr>
              <w:t>所在单位认可（10分）</w:t>
            </w:r>
          </w:p>
        </w:tc>
        <w:tc>
          <w:tcPr>
            <w:tcW w:w="4111" w:type="dxa"/>
            <w:tcBorders>
              <w:top w:val="nil"/>
              <w:left w:val="nil"/>
              <w:bottom w:val="single" w:color="auto" w:sz="4" w:space="0"/>
              <w:right w:val="single" w:color="auto" w:sz="4" w:space="0"/>
            </w:tcBorders>
            <w:vAlign w:val="center"/>
          </w:tcPr>
          <w:p w14:paraId="4CF2F043">
            <w:pPr>
              <w:widowControl/>
              <w:jc w:val="left"/>
              <w:rPr>
                <w:rFonts w:ascii="Times New Roman" w:hAnsi="Times New Roman"/>
                <w:kern w:val="0"/>
                <w:sz w:val="22"/>
              </w:rPr>
            </w:pPr>
            <w:r>
              <w:rPr>
                <w:rFonts w:ascii="Times New Roman" w:hAnsi="Times New Roman"/>
                <w:kern w:val="0"/>
                <w:sz w:val="22"/>
              </w:rPr>
              <w:t>单位绩效考核优良，群众威信或满意度较高。</w:t>
            </w:r>
          </w:p>
        </w:tc>
        <w:tc>
          <w:tcPr>
            <w:tcW w:w="3260" w:type="dxa"/>
            <w:tcBorders>
              <w:top w:val="nil"/>
              <w:left w:val="nil"/>
              <w:bottom w:val="single" w:color="auto" w:sz="4" w:space="0"/>
              <w:right w:val="single" w:color="auto" w:sz="4" w:space="0"/>
            </w:tcBorders>
            <w:vAlign w:val="center"/>
          </w:tcPr>
          <w:p w14:paraId="1A9026AE">
            <w:pPr>
              <w:widowControl/>
              <w:jc w:val="left"/>
              <w:rPr>
                <w:rFonts w:ascii="Times New Roman" w:hAnsi="Times New Roman"/>
                <w:kern w:val="0"/>
                <w:sz w:val="22"/>
              </w:rPr>
            </w:pPr>
            <w:r>
              <w:rPr>
                <w:rFonts w:ascii="Times New Roman" w:hAnsi="Times New Roman"/>
                <w:kern w:val="0"/>
                <w:sz w:val="22"/>
              </w:rPr>
              <w:t>近2年考核优秀，或满意度测评85分以上得满分。</w:t>
            </w:r>
          </w:p>
        </w:tc>
        <w:tc>
          <w:tcPr>
            <w:tcW w:w="1701" w:type="dxa"/>
            <w:tcBorders>
              <w:top w:val="nil"/>
              <w:left w:val="nil"/>
              <w:bottom w:val="single" w:color="auto" w:sz="4" w:space="0"/>
              <w:right w:val="single" w:color="auto" w:sz="4" w:space="0"/>
            </w:tcBorders>
            <w:vAlign w:val="center"/>
          </w:tcPr>
          <w:p w14:paraId="6355D10E">
            <w:pPr>
              <w:widowControl/>
              <w:jc w:val="left"/>
              <w:rPr>
                <w:rFonts w:ascii="Times New Roman" w:hAnsi="Times New Roman"/>
                <w:kern w:val="0"/>
                <w:sz w:val="22"/>
              </w:rPr>
            </w:pPr>
            <w:r>
              <w:rPr>
                <w:rFonts w:ascii="Times New Roman" w:hAnsi="Times New Roman"/>
                <w:kern w:val="0"/>
                <w:sz w:val="22"/>
              </w:rPr>
              <w:t>考核表或测评表</w:t>
            </w:r>
          </w:p>
        </w:tc>
        <w:tc>
          <w:tcPr>
            <w:tcW w:w="1207" w:type="dxa"/>
            <w:tcBorders>
              <w:top w:val="nil"/>
              <w:left w:val="nil"/>
              <w:bottom w:val="single" w:color="auto" w:sz="4" w:space="0"/>
              <w:right w:val="single" w:color="auto" w:sz="4" w:space="0"/>
            </w:tcBorders>
          </w:tcPr>
          <w:p w14:paraId="5E3AD34A">
            <w:pPr>
              <w:widowControl/>
              <w:jc w:val="left"/>
              <w:rPr>
                <w:rFonts w:ascii="Times New Roman" w:hAnsi="Times New Roman"/>
                <w:kern w:val="0"/>
                <w:sz w:val="22"/>
              </w:rPr>
            </w:pPr>
          </w:p>
        </w:tc>
      </w:tr>
      <w:tr w14:paraId="628EBD4F">
        <w:tblPrEx>
          <w:tblCellMar>
            <w:top w:w="0" w:type="dxa"/>
            <w:left w:w="108" w:type="dxa"/>
            <w:bottom w:w="0" w:type="dxa"/>
            <w:right w:w="108" w:type="dxa"/>
          </w:tblCellMar>
        </w:tblPrEx>
        <w:trPr>
          <w:trHeight w:val="253" w:hRule="atLeast"/>
        </w:trPr>
        <w:tc>
          <w:tcPr>
            <w:tcW w:w="1217" w:type="dxa"/>
            <w:vMerge w:val="continue"/>
            <w:tcBorders>
              <w:left w:val="single" w:color="auto" w:sz="4" w:space="0"/>
              <w:right w:val="single" w:color="auto" w:sz="4" w:space="0"/>
            </w:tcBorders>
            <w:vAlign w:val="center"/>
          </w:tcPr>
          <w:p w14:paraId="64BDB3B3">
            <w:pPr>
              <w:widowControl/>
              <w:jc w:val="left"/>
              <w:rPr>
                <w:rFonts w:ascii="Times New Roman" w:hAnsi="Times New Roman"/>
                <w:kern w:val="0"/>
                <w:sz w:val="22"/>
              </w:rPr>
            </w:pPr>
          </w:p>
        </w:tc>
        <w:tc>
          <w:tcPr>
            <w:tcW w:w="1843" w:type="dxa"/>
            <w:tcBorders>
              <w:top w:val="nil"/>
              <w:left w:val="single" w:color="auto" w:sz="4" w:space="0"/>
              <w:bottom w:val="single" w:color="auto" w:sz="4" w:space="0"/>
              <w:right w:val="single" w:color="auto" w:sz="4" w:space="0"/>
            </w:tcBorders>
            <w:vAlign w:val="center"/>
          </w:tcPr>
          <w:p w14:paraId="1B9BE53D">
            <w:pPr>
              <w:rPr>
                <w:rFonts w:ascii="Times New Roman" w:hAnsi="Times New Roman"/>
                <w:kern w:val="0"/>
                <w:sz w:val="22"/>
              </w:rPr>
            </w:pPr>
            <w:r>
              <w:rPr>
                <w:rFonts w:ascii="Times New Roman" w:hAnsi="Times New Roman"/>
                <w:kern w:val="0"/>
                <w:sz w:val="22"/>
              </w:rPr>
              <w:t>社会影响大（5分）</w:t>
            </w:r>
          </w:p>
        </w:tc>
        <w:tc>
          <w:tcPr>
            <w:tcW w:w="4111" w:type="dxa"/>
            <w:tcBorders>
              <w:top w:val="nil"/>
              <w:left w:val="nil"/>
              <w:bottom w:val="single" w:color="auto" w:sz="4" w:space="0"/>
              <w:right w:val="single" w:color="auto" w:sz="4" w:space="0"/>
            </w:tcBorders>
            <w:vAlign w:val="center"/>
          </w:tcPr>
          <w:p w14:paraId="5F4B0975">
            <w:pPr>
              <w:widowControl/>
              <w:jc w:val="left"/>
              <w:rPr>
                <w:rFonts w:ascii="Times New Roman" w:hAnsi="Times New Roman"/>
                <w:kern w:val="0"/>
                <w:sz w:val="22"/>
              </w:rPr>
            </w:pPr>
            <w:r>
              <w:rPr>
                <w:rFonts w:ascii="Times New Roman" w:hAnsi="Times New Roman"/>
                <w:kern w:val="0"/>
                <w:sz w:val="22"/>
              </w:rPr>
              <w:t>社会知名度较高。</w:t>
            </w:r>
          </w:p>
        </w:tc>
        <w:tc>
          <w:tcPr>
            <w:tcW w:w="3260" w:type="dxa"/>
            <w:tcBorders>
              <w:top w:val="nil"/>
              <w:left w:val="nil"/>
              <w:bottom w:val="single" w:color="auto" w:sz="4" w:space="0"/>
              <w:right w:val="single" w:color="auto" w:sz="4" w:space="0"/>
            </w:tcBorders>
            <w:vAlign w:val="center"/>
          </w:tcPr>
          <w:p w14:paraId="335F8DB5">
            <w:pPr>
              <w:jc w:val="left"/>
              <w:rPr>
                <w:rFonts w:ascii="Times New Roman" w:hAnsi="Times New Roman"/>
                <w:kern w:val="0"/>
                <w:sz w:val="22"/>
              </w:rPr>
            </w:pPr>
            <w:r>
              <w:rPr>
                <w:rFonts w:ascii="Times New Roman" w:hAnsi="Times New Roman"/>
                <w:kern w:val="0"/>
                <w:sz w:val="22"/>
              </w:rPr>
              <w:t>通过社会调研掌握知名度情况较高者得满分，其他酌情给分。</w:t>
            </w:r>
          </w:p>
        </w:tc>
        <w:tc>
          <w:tcPr>
            <w:tcW w:w="1701" w:type="dxa"/>
            <w:tcBorders>
              <w:top w:val="nil"/>
              <w:left w:val="nil"/>
              <w:bottom w:val="single" w:color="auto" w:sz="4" w:space="0"/>
              <w:right w:val="single" w:color="auto" w:sz="4" w:space="0"/>
            </w:tcBorders>
            <w:vAlign w:val="center"/>
          </w:tcPr>
          <w:p w14:paraId="42396C92">
            <w:pPr>
              <w:jc w:val="left"/>
              <w:rPr>
                <w:rFonts w:ascii="Times New Roman" w:hAnsi="Times New Roman"/>
                <w:kern w:val="0"/>
                <w:sz w:val="22"/>
              </w:rPr>
            </w:pPr>
            <w:r>
              <w:rPr>
                <w:rFonts w:ascii="Times New Roman" w:hAnsi="Times New Roman"/>
                <w:kern w:val="0"/>
                <w:sz w:val="22"/>
              </w:rPr>
              <w:t>国内外行业组织兼职证书以及有关荣誉证书等</w:t>
            </w:r>
          </w:p>
        </w:tc>
        <w:tc>
          <w:tcPr>
            <w:tcW w:w="1207" w:type="dxa"/>
            <w:tcBorders>
              <w:top w:val="nil"/>
              <w:left w:val="nil"/>
              <w:bottom w:val="single" w:color="auto" w:sz="4" w:space="0"/>
              <w:right w:val="single" w:color="auto" w:sz="4" w:space="0"/>
            </w:tcBorders>
          </w:tcPr>
          <w:p w14:paraId="3C5C0EA5">
            <w:pPr>
              <w:widowControl/>
              <w:jc w:val="left"/>
              <w:rPr>
                <w:rFonts w:ascii="Times New Roman" w:hAnsi="Times New Roman"/>
                <w:kern w:val="0"/>
                <w:sz w:val="22"/>
              </w:rPr>
            </w:pPr>
          </w:p>
        </w:tc>
      </w:tr>
      <w:tr w14:paraId="06D38239">
        <w:tblPrEx>
          <w:tblCellMar>
            <w:top w:w="0" w:type="dxa"/>
            <w:left w:w="108" w:type="dxa"/>
            <w:bottom w:w="0" w:type="dxa"/>
            <w:right w:w="108" w:type="dxa"/>
          </w:tblCellMar>
        </w:tblPrEx>
        <w:trPr>
          <w:trHeight w:val="1614" w:hRule="atLeast"/>
        </w:trPr>
        <w:tc>
          <w:tcPr>
            <w:tcW w:w="1217" w:type="dxa"/>
            <w:vMerge w:val="continue"/>
            <w:tcBorders>
              <w:left w:val="single" w:color="auto" w:sz="4" w:space="0"/>
              <w:bottom w:val="single" w:color="auto" w:sz="4" w:space="0"/>
              <w:right w:val="single" w:color="auto" w:sz="4" w:space="0"/>
            </w:tcBorders>
            <w:vAlign w:val="center"/>
          </w:tcPr>
          <w:p w14:paraId="4E27F760">
            <w:pPr>
              <w:widowControl/>
              <w:jc w:val="left"/>
              <w:rPr>
                <w:rFonts w:ascii="Times New Roman" w:hAnsi="Times New Roman"/>
                <w:kern w:val="0"/>
                <w:sz w:val="22"/>
              </w:rPr>
            </w:pPr>
          </w:p>
        </w:tc>
        <w:tc>
          <w:tcPr>
            <w:tcW w:w="1843" w:type="dxa"/>
            <w:tcBorders>
              <w:top w:val="single" w:color="auto" w:sz="4" w:space="0"/>
              <w:left w:val="single" w:color="auto" w:sz="4" w:space="0"/>
              <w:bottom w:val="single" w:color="auto" w:sz="4" w:space="0"/>
              <w:right w:val="single" w:color="auto" w:sz="4" w:space="0"/>
            </w:tcBorders>
            <w:vAlign w:val="center"/>
          </w:tcPr>
          <w:p w14:paraId="16FDDEE6">
            <w:pPr>
              <w:rPr>
                <w:rFonts w:ascii="Times New Roman" w:hAnsi="Times New Roman"/>
                <w:kern w:val="0"/>
                <w:sz w:val="22"/>
              </w:rPr>
            </w:pPr>
            <w:r>
              <w:rPr>
                <w:rFonts w:ascii="Times New Roman" w:hAnsi="Times New Roman"/>
                <w:kern w:val="0"/>
                <w:sz w:val="22"/>
              </w:rPr>
              <w:t>社会责任（10分）</w:t>
            </w:r>
          </w:p>
        </w:tc>
        <w:tc>
          <w:tcPr>
            <w:tcW w:w="4111" w:type="dxa"/>
            <w:tcBorders>
              <w:top w:val="single" w:color="auto" w:sz="4" w:space="0"/>
              <w:left w:val="nil"/>
              <w:bottom w:val="single" w:color="auto" w:sz="4" w:space="0"/>
              <w:right w:val="single" w:color="auto" w:sz="4" w:space="0"/>
            </w:tcBorders>
            <w:vAlign w:val="center"/>
          </w:tcPr>
          <w:p w14:paraId="40CDD161">
            <w:pPr>
              <w:jc w:val="left"/>
              <w:rPr>
                <w:rFonts w:ascii="Times New Roman" w:hAnsi="Times New Roman"/>
                <w:sz w:val="22"/>
              </w:rPr>
            </w:pPr>
            <w:r>
              <w:rPr>
                <w:rFonts w:ascii="Times New Roman" w:hAnsi="Times New Roman"/>
                <w:sz w:val="22"/>
              </w:rPr>
              <w:t>本人及其所领导的企业积极参加公益慈善活动，</w:t>
            </w:r>
            <w:r>
              <w:rPr>
                <w:rFonts w:ascii="Times New Roman" w:hAnsi="Times New Roman"/>
                <w:kern w:val="0"/>
                <w:sz w:val="22"/>
              </w:rPr>
              <w:t>在关爱弱势群体、贫困地区、教育事业等方面捐赠和支持较多；</w:t>
            </w:r>
            <w:r>
              <w:rPr>
                <w:rFonts w:ascii="Times New Roman" w:hAnsi="Times New Roman"/>
                <w:sz w:val="22"/>
              </w:rPr>
              <w:t>以实际行动关心员工成长与社会公正；以实际行动关心企业环保、质量与安全生产等问题。</w:t>
            </w:r>
          </w:p>
        </w:tc>
        <w:tc>
          <w:tcPr>
            <w:tcW w:w="3260" w:type="dxa"/>
            <w:tcBorders>
              <w:top w:val="single" w:color="auto" w:sz="4" w:space="0"/>
              <w:left w:val="nil"/>
              <w:bottom w:val="single" w:color="auto" w:sz="4" w:space="0"/>
              <w:right w:val="single" w:color="auto" w:sz="4" w:space="0"/>
            </w:tcBorders>
            <w:vAlign w:val="center"/>
          </w:tcPr>
          <w:p w14:paraId="31E63B7A">
            <w:pPr>
              <w:jc w:val="left"/>
              <w:rPr>
                <w:rFonts w:ascii="Times New Roman" w:hAnsi="Times New Roman"/>
                <w:kern w:val="0"/>
                <w:sz w:val="22"/>
              </w:rPr>
            </w:pPr>
            <w:r>
              <w:rPr>
                <w:rFonts w:ascii="Times New Roman" w:hAnsi="Times New Roman"/>
                <w:kern w:val="0"/>
                <w:sz w:val="22"/>
              </w:rPr>
              <w:t>符合条件得满分，其他酌情给分。</w:t>
            </w:r>
          </w:p>
        </w:tc>
        <w:tc>
          <w:tcPr>
            <w:tcW w:w="1701" w:type="dxa"/>
            <w:tcBorders>
              <w:top w:val="single" w:color="auto" w:sz="4" w:space="0"/>
              <w:left w:val="nil"/>
              <w:bottom w:val="single" w:color="auto" w:sz="4" w:space="0"/>
              <w:right w:val="single" w:color="auto" w:sz="4" w:space="0"/>
            </w:tcBorders>
            <w:vAlign w:val="center"/>
          </w:tcPr>
          <w:p w14:paraId="45CB11F4">
            <w:pPr>
              <w:widowControl/>
              <w:jc w:val="left"/>
              <w:rPr>
                <w:rFonts w:ascii="Times New Roman" w:hAnsi="Times New Roman"/>
                <w:kern w:val="0"/>
                <w:sz w:val="22"/>
              </w:rPr>
            </w:pPr>
            <w:r>
              <w:rPr>
                <w:rFonts w:ascii="Times New Roman" w:hAnsi="Times New Roman"/>
                <w:kern w:val="0"/>
                <w:sz w:val="22"/>
              </w:rPr>
              <w:t>1.捐赠证书等证明材料</w:t>
            </w:r>
          </w:p>
          <w:p w14:paraId="7F11BB1B">
            <w:pPr>
              <w:widowControl/>
              <w:jc w:val="left"/>
              <w:rPr>
                <w:rFonts w:ascii="Times New Roman" w:hAnsi="Times New Roman"/>
                <w:kern w:val="0"/>
                <w:sz w:val="22"/>
              </w:rPr>
            </w:pPr>
            <w:r>
              <w:rPr>
                <w:rFonts w:ascii="Times New Roman" w:hAnsi="Times New Roman"/>
                <w:kern w:val="0"/>
                <w:sz w:val="22"/>
              </w:rPr>
              <w:t>2.组织调查</w:t>
            </w:r>
          </w:p>
          <w:p w14:paraId="10187F49">
            <w:pPr>
              <w:jc w:val="left"/>
              <w:rPr>
                <w:rFonts w:ascii="Times New Roman" w:hAnsi="Times New Roman"/>
                <w:kern w:val="0"/>
                <w:sz w:val="22"/>
              </w:rPr>
            </w:pPr>
            <w:r>
              <w:rPr>
                <w:rFonts w:ascii="Times New Roman" w:hAnsi="Times New Roman"/>
                <w:kern w:val="0"/>
                <w:sz w:val="22"/>
              </w:rPr>
              <w:t>3.第三方调查</w:t>
            </w:r>
          </w:p>
        </w:tc>
        <w:tc>
          <w:tcPr>
            <w:tcW w:w="1207" w:type="dxa"/>
            <w:tcBorders>
              <w:top w:val="single" w:color="auto" w:sz="4" w:space="0"/>
              <w:left w:val="nil"/>
              <w:bottom w:val="single" w:color="auto" w:sz="4" w:space="0"/>
              <w:right w:val="single" w:color="auto" w:sz="4" w:space="0"/>
            </w:tcBorders>
          </w:tcPr>
          <w:p w14:paraId="7291B972">
            <w:pPr>
              <w:widowControl/>
              <w:jc w:val="left"/>
              <w:rPr>
                <w:rFonts w:ascii="Times New Roman" w:hAnsi="Times New Roman"/>
                <w:kern w:val="0"/>
                <w:sz w:val="22"/>
              </w:rPr>
            </w:pPr>
          </w:p>
        </w:tc>
      </w:tr>
      <w:tr w14:paraId="29CA3896">
        <w:tblPrEx>
          <w:tblCellMar>
            <w:top w:w="0" w:type="dxa"/>
            <w:left w:w="108" w:type="dxa"/>
            <w:bottom w:w="0" w:type="dxa"/>
            <w:right w:w="108" w:type="dxa"/>
          </w:tblCellMar>
        </w:tblPrEx>
        <w:trPr>
          <w:trHeight w:val="810" w:hRule="atLeast"/>
        </w:trPr>
        <w:tc>
          <w:tcPr>
            <w:tcW w:w="3060" w:type="dxa"/>
            <w:gridSpan w:val="2"/>
            <w:tcBorders>
              <w:top w:val="nil"/>
              <w:left w:val="single" w:color="auto" w:sz="4" w:space="0"/>
              <w:bottom w:val="single" w:color="auto" w:sz="4" w:space="0"/>
              <w:right w:val="single" w:color="auto" w:sz="4" w:space="0"/>
            </w:tcBorders>
            <w:vAlign w:val="center"/>
          </w:tcPr>
          <w:p w14:paraId="183CD073">
            <w:pPr>
              <w:widowControl/>
              <w:jc w:val="center"/>
              <w:rPr>
                <w:rFonts w:ascii="Times New Roman" w:hAnsi="Times New Roman"/>
                <w:b/>
                <w:kern w:val="0"/>
                <w:sz w:val="22"/>
              </w:rPr>
            </w:pPr>
            <w:r>
              <w:rPr>
                <w:rFonts w:ascii="Times New Roman" w:hAnsi="Times New Roman"/>
                <w:b/>
                <w:kern w:val="0"/>
                <w:sz w:val="22"/>
              </w:rPr>
              <w:t>总体意见</w:t>
            </w:r>
          </w:p>
        </w:tc>
        <w:tc>
          <w:tcPr>
            <w:tcW w:w="7371" w:type="dxa"/>
            <w:gridSpan w:val="2"/>
            <w:tcBorders>
              <w:top w:val="single" w:color="auto" w:sz="4" w:space="0"/>
              <w:left w:val="nil"/>
              <w:bottom w:val="single" w:color="auto" w:sz="4" w:space="0"/>
              <w:right w:val="single" w:color="auto" w:sz="4" w:space="0"/>
            </w:tcBorders>
            <w:vAlign w:val="center"/>
          </w:tcPr>
          <w:p w14:paraId="0E9EA790">
            <w:pPr>
              <w:widowControl/>
              <w:jc w:val="left"/>
              <w:rPr>
                <w:rFonts w:ascii="Times New Roman" w:hAnsi="Times New Roman"/>
                <w:kern w:val="0"/>
                <w:sz w:val="22"/>
              </w:rPr>
            </w:pPr>
          </w:p>
        </w:tc>
        <w:tc>
          <w:tcPr>
            <w:tcW w:w="1701" w:type="dxa"/>
            <w:tcBorders>
              <w:top w:val="nil"/>
              <w:left w:val="nil"/>
              <w:bottom w:val="single" w:color="auto" w:sz="4" w:space="0"/>
              <w:right w:val="single" w:color="auto" w:sz="4" w:space="0"/>
            </w:tcBorders>
            <w:vAlign w:val="center"/>
          </w:tcPr>
          <w:p w14:paraId="271904FA">
            <w:pPr>
              <w:widowControl/>
              <w:jc w:val="center"/>
              <w:rPr>
                <w:rFonts w:ascii="Times New Roman" w:hAnsi="Times New Roman"/>
                <w:b/>
                <w:kern w:val="0"/>
                <w:sz w:val="22"/>
              </w:rPr>
            </w:pPr>
            <w:r>
              <w:rPr>
                <w:rFonts w:ascii="Times New Roman" w:hAnsi="Times New Roman"/>
                <w:b/>
                <w:kern w:val="0"/>
                <w:sz w:val="22"/>
              </w:rPr>
              <w:t>得分合计</w:t>
            </w:r>
          </w:p>
        </w:tc>
        <w:tc>
          <w:tcPr>
            <w:tcW w:w="1207" w:type="dxa"/>
            <w:tcBorders>
              <w:top w:val="nil"/>
              <w:left w:val="nil"/>
              <w:bottom w:val="single" w:color="auto" w:sz="4" w:space="0"/>
              <w:right w:val="single" w:color="auto" w:sz="4" w:space="0"/>
            </w:tcBorders>
          </w:tcPr>
          <w:p w14:paraId="25C65E29">
            <w:pPr>
              <w:widowControl/>
              <w:jc w:val="left"/>
              <w:rPr>
                <w:rFonts w:ascii="Times New Roman" w:hAnsi="Times New Roman"/>
                <w:kern w:val="0"/>
                <w:sz w:val="22"/>
              </w:rPr>
            </w:pPr>
          </w:p>
        </w:tc>
      </w:tr>
    </w:tbl>
    <w:p w14:paraId="09168DD7">
      <w:pPr>
        <w:rPr>
          <w:rFonts w:ascii="Times New Roman" w:hAnsi="Times New Roman"/>
        </w:rPr>
      </w:pPr>
    </w:p>
    <w:p w14:paraId="1EC2CFBB">
      <w:pPr>
        <w:rPr>
          <w:rFonts w:ascii="Times New Roman" w:hAnsi="Times New Roman"/>
        </w:rPr>
      </w:pPr>
    </w:p>
    <w:p w14:paraId="25A965DA">
      <w:pPr>
        <w:jc w:val="left"/>
        <w:rPr>
          <w:rFonts w:ascii="Times New Roman" w:hAnsi="Times New Roman"/>
        </w:rPr>
      </w:pPr>
      <w:r>
        <w:br w:type="page"/>
      </w:r>
      <w:r>
        <w:rPr>
          <w:rFonts w:ascii="Times New Roman" w:hAnsi="Times New Roman"/>
          <w:sz w:val="30"/>
          <w:szCs w:val="30"/>
        </w:rPr>
        <w:t>附件三</w:t>
      </w:r>
    </w:p>
    <w:p w14:paraId="0542B433">
      <w:pPr>
        <w:spacing w:before="120" w:after="120"/>
        <w:jc w:val="center"/>
        <w:rPr>
          <w:rFonts w:ascii="Times New Roman" w:hAnsi="Times New Roman" w:eastAsia="方正小标宋简体"/>
          <w:sz w:val="44"/>
          <w:szCs w:val="44"/>
        </w:rPr>
      </w:pPr>
      <w:r>
        <w:rPr>
          <w:rFonts w:ascii="Times New Roman" w:hAnsi="Times New Roman" w:eastAsia="方正小标宋简体"/>
          <w:sz w:val="44"/>
          <w:szCs w:val="44"/>
        </w:rPr>
        <w:t>2024年度青岛榜样企业审查计分表</w:t>
      </w:r>
    </w:p>
    <w:tbl>
      <w:tblPr>
        <w:tblStyle w:val="5"/>
        <w:tblW w:w="15270" w:type="dxa"/>
        <w:jc w:val="center"/>
        <w:tblLayout w:type="autofit"/>
        <w:tblCellMar>
          <w:top w:w="0" w:type="dxa"/>
          <w:left w:w="108" w:type="dxa"/>
          <w:bottom w:w="0" w:type="dxa"/>
          <w:right w:w="108" w:type="dxa"/>
        </w:tblCellMar>
      </w:tblPr>
      <w:tblGrid>
        <w:gridCol w:w="1413"/>
        <w:gridCol w:w="2551"/>
        <w:gridCol w:w="4253"/>
        <w:gridCol w:w="4253"/>
        <w:gridCol w:w="1560"/>
        <w:gridCol w:w="1240"/>
      </w:tblGrid>
      <w:tr w14:paraId="4E5EF753">
        <w:tblPrEx>
          <w:tblCellMar>
            <w:top w:w="0" w:type="dxa"/>
            <w:left w:w="108" w:type="dxa"/>
            <w:bottom w:w="0" w:type="dxa"/>
            <w:right w:w="108" w:type="dxa"/>
          </w:tblCellMar>
        </w:tblPrEx>
        <w:trPr>
          <w:trHeight w:val="517" w:hRule="atLeast"/>
          <w:tblHeader/>
          <w:jc w:val="center"/>
        </w:trPr>
        <w:tc>
          <w:tcPr>
            <w:tcW w:w="1413" w:type="dxa"/>
            <w:tcBorders>
              <w:top w:val="single" w:color="auto" w:sz="4" w:space="0"/>
              <w:left w:val="single" w:color="auto" w:sz="4" w:space="0"/>
              <w:bottom w:val="single" w:color="auto" w:sz="4" w:space="0"/>
              <w:right w:val="single" w:color="auto" w:sz="4" w:space="0"/>
            </w:tcBorders>
            <w:vAlign w:val="center"/>
          </w:tcPr>
          <w:p w14:paraId="4784B188">
            <w:pPr>
              <w:widowControl/>
              <w:jc w:val="center"/>
              <w:rPr>
                <w:rFonts w:ascii="Times New Roman" w:hAnsi="Times New Roman"/>
                <w:b/>
                <w:bCs/>
                <w:kern w:val="0"/>
                <w:sz w:val="22"/>
              </w:rPr>
            </w:pPr>
            <w:r>
              <w:rPr>
                <w:rFonts w:ascii="Times New Roman" w:hAnsi="Times New Roman"/>
                <w:b/>
                <w:bCs/>
                <w:kern w:val="0"/>
                <w:sz w:val="22"/>
              </w:rPr>
              <w:t>一级指标</w:t>
            </w:r>
          </w:p>
        </w:tc>
        <w:tc>
          <w:tcPr>
            <w:tcW w:w="2551" w:type="dxa"/>
            <w:tcBorders>
              <w:top w:val="single" w:color="auto" w:sz="4" w:space="0"/>
              <w:left w:val="nil"/>
              <w:bottom w:val="single" w:color="auto" w:sz="4" w:space="0"/>
              <w:right w:val="single" w:color="auto" w:sz="4" w:space="0"/>
            </w:tcBorders>
            <w:vAlign w:val="center"/>
          </w:tcPr>
          <w:p w14:paraId="4179955D">
            <w:pPr>
              <w:widowControl/>
              <w:jc w:val="center"/>
              <w:rPr>
                <w:rFonts w:ascii="Times New Roman" w:hAnsi="Times New Roman"/>
                <w:b/>
                <w:bCs/>
                <w:kern w:val="0"/>
                <w:sz w:val="22"/>
              </w:rPr>
            </w:pPr>
            <w:r>
              <w:rPr>
                <w:rFonts w:ascii="Times New Roman" w:hAnsi="Times New Roman"/>
                <w:b/>
                <w:bCs/>
                <w:kern w:val="0"/>
                <w:sz w:val="22"/>
              </w:rPr>
              <w:t>二级指标</w:t>
            </w:r>
          </w:p>
        </w:tc>
        <w:tc>
          <w:tcPr>
            <w:tcW w:w="4253" w:type="dxa"/>
            <w:tcBorders>
              <w:top w:val="single" w:color="auto" w:sz="4" w:space="0"/>
              <w:left w:val="nil"/>
              <w:bottom w:val="single" w:color="auto" w:sz="4" w:space="0"/>
              <w:right w:val="single" w:color="auto" w:sz="4" w:space="0"/>
            </w:tcBorders>
            <w:vAlign w:val="center"/>
          </w:tcPr>
          <w:p w14:paraId="30D78C60">
            <w:pPr>
              <w:widowControl/>
              <w:jc w:val="center"/>
              <w:rPr>
                <w:rFonts w:ascii="Times New Roman" w:hAnsi="Times New Roman"/>
                <w:b/>
                <w:bCs/>
                <w:kern w:val="0"/>
                <w:sz w:val="22"/>
              </w:rPr>
            </w:pPr>
            <w:r>
              <w:rPr>
                <w:rFonts w:ascii="Times New Roman" w:hAnsi="Times New Roman"/>
                <w:b/>
                <w:bCs/>
                <w:kern w:val="0"/>
                <w:sz w:val="22"/>
              </w:rPr>
              <w:t>指标解释</w:t>
            </w:r>
          </w:p>
        </w:tc>
        <w:tc>
          <w:tcPr>
            <w:tcW w:w="4253" w:type="dxa"/>
            <w:tcBorders>
              <w:top w:val="single" w:color="auto" w:sz="4" w:space="0"/>
              <w:left w:val="nil"/>
              <w:bottom w:val="single" w:color="auto" w:sz="4" w:space="0"/>
              <w:right w:val="single" w:color="auto" w:sz="4" w:space="0"/>
            </w:tcBorders>
            <w:noWrap/>
            <w:vAlign w:val="center"/>
          </w:tcPr>
          <w:p w14:paraId="30290EF2">
            <w:pPr>
              <w:widowControl/>
              <w:jc w:val="center"/>
              <w:rPr>
                <w:rFonts w:ascii="Times New Roman" w:hAnsi="Times New Roman"/>
                <w:b/>
                <w:kern w:val="0"/>
                <w:sz w:val="22"/>
              </w:rPr>
            </w:pPr>
            <w:r>
              <w:rPr>
                <w:rFonts w:ascii="Times New Roman" w:hAnsi="Times New Roman"/>
                <w:b/>
                <w:kern w:val="0"/>
                <w:sz w:val="22"/>
              </w:rPr>
              <w:t>赋分</w:t>
            </w:r>
            <w:r>
              <w:rPr>
                <w:rFonts w:ascii="Times New Roman" w:hAnsi="Times New Roman"/>
                <w:b/>
                <w:bCs/>
                <w:kern w:val="0"/>
                <w:sz w:val="22"/>
              </w:rPr>
              <w:t>细则</w:t>
            </w:r>
          </w:p>
        </w:tc>
        <w:tc>
          <w:tcPr>
            <w:tcW w:w="1560" w:type="dxa"/>
            <w:tcBorders>
              <w:top w:val="single" w:color="auto" w:sz="4" w:space="0"/>
              <w:left w:val="nil"/>
              <w:bottom w:val="single" w:color="auto" w:sz="4" w:space="0"/>
              <w:right w:val="single" w:color="auto" w:sz="4" w:space="0"/>
            </w:tcBorders>
            <w:vAlign w:val="center"/>
          </w:tcPr>
          <w:p w14:paraId="32C02C40">
            <w:pPr>
              <w:widowControl/>
              <w:jc w:val="center"/>
              <w:rPr>
                <w:rFonts w:ascii="Times New Roman" w:hAnsi="Times New Roman"/>
                <w:b/>
                <w:kern w:val="0"/>
                <w:sz w:val="22"/>
              </w:rPr>
            </w:pPr>
            <w:r>
              <w:rPr>
                <w:rFonts w:ascii="Times New Roman" w:hAnsi="Times New Roman"/>
                <w:b/>
                <w:kern w:val="0"/>
                <w:sz w:val="22"/>
              </w:rPr>
              <w:t>审查</w:t>
            </w:r>
            <w:r>
              <w:rPr>
                <w:rFonts w:ascii="Times New Roman" w:hAnsi="Times New Roman"/>
                <w:b/>
                <w:bCs/>
                <w:kern w:val="0"/>
                <w:sz w:val="22"/>
              </w:rPr>
              <w:t>依据资料</w:t>
            </w:r>
          </w:p>
        </w:tc>
        <w:tc>
          <w:tcPr>
            <w:tcW w:w="1240" w:type="dxa"/>
            <w:tcBorders>
              <w:top w:val="single" w:color="auto" w:sz="4" w:space="0"/>
              <w:left w:val="nil"/>
              <w:bottom w:val="single" w:color="auto" w:sz="4" w:space="0"/>
              <w:right w:val="single" w:color="auto" w:sz="4" w:space="0"/>
            </w:tcBorders>
            <w:vAlign w:val="center"/>
          </w:tcPr>
          <w:p w14:paraId="54244B61">
            <w:pPr>
              <w:widowControl/>
              <w:jc w:val="center"/>
              <w:rPr>
                <w:rFonts w:ascii="Times New Roman" w:hAnsi="Times New Roman"/>
                <w:b/>
                <w:kern w:val="0"/>
                <w:sz w:val="22"/>
              </w:rPr>
            </w:pPr>
            <w:r>
              <w:rPr>
                <w:rFonts w:ascii="Times New Roman" w:hAnsi="Times New Roman"/>
                <w:b/>
                <w:kern w:val="0"/>
                <w:sz w:val="22"/>
              </w:rPr>
              <w:t>审查</w:t>
            </w:r>
            <w:r>
              <w:rPr>
                <w:rFonts w:ascii="Times New Roman" w:hAnsi="Times New Roman"/>
                <w:b/>
                <w:bCs/>
                <w:kern w:val="0"/>
                <w:sz w:val="22"/>
              </w:rPr>
              <w:t>计分</w:t>
            </w:r>
          </w:p>
        </w:tc>
      </w:tr>
      <w:tr w14:paraId="3369761F">
        <w:tblPrEx>
          <w:tblCellMar>
            <w:top w:w="0" w:type="dxa"/>
            <w:left w:w="108" w:type="dxa"/>
            <w:bottom w:w="0" w:type="dxa"/>
            <w:right w:w="108" w:type="dxa"/>
          </w:tblCellMar>
        </w:tblPrEx>
        <w:trPr>
          <w:trHeight w:val="560" w:hRule="atLeast"/>
          <w:jc w:val="center"/>
        </w:trPr>
        <w:tc>
          <w:tcPr>
            <w:tcW w:w="1413" w:type="dxa"/>
            <w:vMerge w:val="restart"/>
            <w:tcBorders>
              <w:top w:val="nil"/>
              <w:left w:val="single" w:color="auto" w:sz="4" w:space="0"/>
              <w:bottom w:val="single" w:color="000000" w:sz="4" w:space="0"/>
              <w:right w:val="single" w:color="auto" w:sz="4" w:space="0"/>
            </w:tcBorders>
            <w:vAlign w:val="center"/>
          </w:tcPr>
          <w:p w14:paraId="4E74EBAD">
            <w:pPr>
              <w:widowControl/>
              <w:rPr>
                <w:rFonts w:ascii="Times New Roman" w:hAnsi="Times New Roman"/>
                <w:kern w:val="0"/>
                <w:sz w:val="22"/>
              </w:rPr>
            </w:pPr>
            <w:r>
              <w:rPr>
                <w:rFonts w:ascii="Times New Roman" w:hAnsi="Times New Roman"/>
                <w:kern w:val="0"/>
                <w:sz w:val="22"/>
              </w:rPr>
              <w:t>示范引领力（15分）</w:t>
            </w:r>
          </w:p>
        </w:tc>
        <w:tc>
          <w:tcPr>
            <w:tcW w:w="2551" w:type="dxa"/>
            <w:tcBorders>
              <w:top w:val="nil"/>
              <w:left w:val="nil"/>
              <w:bottom w:val="single" w:color="auto" w:sz="4" w:space="0"/>
              <w:right w:val="single" w:color="auto" w:sz="4" w:space="0"/>
            </w:tcBorders>
            <w:vAlign w:val="center"/>
          </w:tcPr>
          <w:p w14:paraId="1E442E25">
            <w:pPr>
              <w:widowControl/>
              <w:jc w:val="left"/>
              <w:rPr>
                <w:rFonts w:ascii="Times New Roman" w:hAnsi="Times New Roman"/>
                <w:kern w:val="0"/>
                <w:sz w:val="22"/>
              </w:rPr>
            </w:pPr>
            <w:r>
              <w:rPr>
                <w:rFonts w:ascii="Times New Roman" w:hAnsi="Times New Roman"/>
                <w:kern w:val="0"/>
                <w:sz w:val="22"/>
              </w:rPr>
              <w:t>重点支持产业</w:t>
            </w:r>
          </w:p>
        </w:tc>
        <w:tc>
          <w:tcPr>
            <w:tcW w:w="4253" w:type="dxa"/>
            <w:tcBorders>
              <w:top w:val="nil"/>
              <w:left w:val="nil"/>
              <w:bottom w:val="single" w:color="auto" w:sz="4" w:space="0"/>
              <w:right w:val="single" w:color="auto" w:sz="4" w:space="0"/>
            </w:tcBorders>
            <w:vAlign w:val="center"/>
          </w:tcPr>
          <w:p w14:paraId="7BD5330F">
            <w:pPr>
              <w:widowControl/>
              <w:jc w:val="left"/>
              <w:rPr>
                <w:rFonts w:ascii="Times New Roman" w:hAnsi="Times New Roman"/>
                <w:kern w:val="0"/>
                <w:sz w:val="22"/>
              </w:rPr>
            </w:pPr>
            <w:r>
              <w:rPr>
                <w:rFonts w:ascii="Times New Roman" w:hAnsi="Times New Roman"/>
                <w:kern w:val="0"/>
                <w:sz w:val="22"/>
              </w:rPr>
              <w:t>属于市重点支持的主导产业领域。</w:t>
            </w:r>
          </w:p>
        </w:tc>
        <w:tc>
          <w:tcPr>
            <w:tcW w:w="4253" w:type="dxa"/>
            <w:tcBorders>
              <w:top w:val="nil"/>
              <w:left w:val="nil"/>
              <w:bottom w:val="single" w:color="auto" w:sz="4" w:space="0"/>
              <w:right w:val="single" w:color="auto" w:sz="4" w:space="0"/>
            </w:tcBorders>
            <w:noWrap/>
            <w:vAlign w:val="center"/>
          </w:tcPr>
          <w:p w14:paraId="54919C0E">
            <w:pPr>
              <w:widowControl/>
              <w:jc w:val="left"/>
              <w:rPr>
                <w:rFonts w:ascii="Times New Roman" w:hAnsi="Times New Roman"/>
                <w:kern w:val="0"/>
                <w:sz w:val="22"/>
              </w:rPr>
            </w:pPr>
            <w:r>
              <w:rPr>
                <w:rFonts w:ascii="Times New Roman" w:hAnsi="Times New Roman"/>
                <w:kern w:val="0"/>
                <w:sz w:val="22"/>
              </w:rPr>
              <w:t>符合条件得满分，其他酌情给分。</w:t>
            </w:r>
          </w:p>
        </w:tc>
        <w:tc>
          <w:tcPr>
            <w:tcW w:w="1560" w:type="dxa"/>
            <w:tcBorders>
              <w:top w:val="nil"/>
              <w:left w:val="nil"/>
              <w:bottom w:val="single" w:color="auto" w:sz="4" w:space="0"/>
              <w:right w:val="single" w:color="auto" w:sz="4" w:space="0"/>
            </w:tcBorders>
            <w:vAlign w:val="center"/>
          </w:tcPr>
          <w:p w14:paraId="5753D84D">
            <w:pPr>
              <w:widowControl/>
              <w:jc w:val="left"/>
              <w:rPr>
                <w:rFonts w:ascii="Times New Roman" w:hAnsi="Times New Roman"/>
                <w:kern w:val="0"/>
                <w:sz w:val="22"/>
              </w:rPr>
            </w:pPr>
            <w:r>
              <w:rPr>
                <w:rFonts w:ascii="Times New Roman" w:hAnsi="Times New Roman"/>
                <w:kern w:val="0"/>
                <w:sz w:val="22"/>
              </w:rPr>
              <w:t>1.申报材料</w:t>
            </w:r>
            <w:r>
              <w:br w:type="textWrapping"/>
            </w:r>
            <w:r>
              <w:rPr>
                <w:rFonts w:ascii="Times New Roman" w:hAnsi="Times New Roman"/>
                <w:kern w:val="0"/>
                <w:sz w:val="22"/>
              </w:rPr>
              <w:t>2.证明材料</w:t>
            </w:r>
          </w:p>
        </w:tc>
        <w:tc>
          <w:tcPr>
            <w:tcW w:w="1240" w:type="dxa"/>
            <w:tcBorders>
              <w:top w:val="nil"/>
              <w:left w:val="nil"/>
              <w:bottom w:val="single" w:color="auto" w:sz="4" w:space="0"/>
              <w:right w:val="single" w:color="auto" w:sz="4" w:space="0"/>
            </w:tcBorders>
            <w:noWrap/>
            <w:vAlign w:val="center"/>
          </w:tcPr>
          <w:p w14:paraId="0808AAA8">
            <w:pPr>
              <w:widowControl/>
              <w:jc w:val="left"/>
              <w:rPr>
                <w:rFonts w:ascii="Times New Roman" w:hAnsi="Times New Roman"/>
                <w:kern w:val="0"/>
                <w:sz w:val="22"/>
              </w:rPr>
            </w:pPr>
          </w:p>
        </w:tc>
      </w:tr>
      <w:tr w14:paraId="4EF1A2D0">
        <w:tblPrEx>
          <w:tblCellMar>
            <w:top w:w="0" w:type="dxa"/>
            <w:left w:w="108" w:type="dxa"/>
            <w:bottom w:w="0" w:type="dxa"/>
            <w:right w:w="108" w:type="dxa"/>
          </w:tblCellMar>
        </w:tblPrEx>
        <w:trPr>
          <w:trHeight w:val="560" w:hRule="atLeast"/>
          <w:jc w:val="center"/>
        </w:trPr>
        <w:tc>
          <w:tcPr>
            <w:tcW w:w="1413" w:type="dxa"/>
            <w:vMerge w:val="continue"/>
            <w:tcBorders>
              <w:top w:val="nil"/>
              <w:left w:val="single" w:color="auto" w:sz="4" w:space="0"/>
              <w:bottom w:val="single" w:color="000000" w:sz="4" w:space="0"/>
              <w:right w:val="single" w:color="auto" w:sz="4" w:space="0"/>
            </w:tcBorders>
            <w:vAlign w:val="center"/>
          </w:tcPr>
          <w:p w14:paraId="78956470">
            <w:pPr>
              <w:widowControl/>
              <w:jc w:val="left"/>
              <w:rPr>
                <w:rFonts w:ascii="Times New Roman" w:hAnsi="Times New Roman"/>
                <w:kern w:val="0"/>
                <w:sz w:val="22"/>
              </w:rPr>
            </w:pPr>
          </w:p>
        </w:tc>
        <w:tc>
          <w:tcPr>
            <w:tcW w:w="2551" w:type="dxa"/>
            <w:tcBorders>
              <w:top w:val="nil"/>
              <w:left w:val="nil"/>
              <w:bottom w:val="single" w:color="auto" w:sz="4" w:space="0"/>
              <w:right w:val="single" w:color="auto" w:sz="4" w:space="0"/>
            </w:tcBorders>
            <w:vAlign w:val="center"/>
          </w:tcPr>
          <w:p w14:paraId="4BD70D99">
            <w:pPr>
              <w:widowControl/>
              <w:jc w:val="left"/>
              <w:rPr>
                <w:rFonts w:ascii="Times New Roman" w:hAnsi="Times New Roman"/>
                <w:kern w:val="0"/>
                <w:sz w:val="22"/>
              </w:rPr>
            </w:pPr>
            <w:r>
              <w:rPr>
                <w:rFonts w:ascii="Times New Roman" w:hAnsi="Times New Roman"/>
                <w:kern w:val="0"/>
                <w:sz w:val="22"/>
              </w:rPr>
              <w:t>或新引进培育新型产业</w:t>
            </w:r>
          </w:p>
        </w:tc>
        <w:tc>
          <w:tcPr>
            <w:tcW w:w="4253" w:type="dxa"/>
            <w:tcBorders>
              <w:top w:val="nil"/>
              <w:left w:val="nil"/>
              <w:bottom w:val="single" w:color="auto" w:sz="4" w:space="0"/>
              <w:right w:val="single" w:color="auto" w:sz="4" w:space="0"/>
            </w:tcBorders>
            <w:vAlign w:val="center"/>
          </w:tcPr>
          <w:p w14:paraId="09F4A860">
            <w:pPr>
              <w:widowControl/>
              <w:jc w:val="left"/>
              <w:rPr>
                <w:rFonts w:ascii="Times New Roman" w:hAnsi="Times New Roman"/>
                <w:kern w:val="0"/>
                <w:sz w:val="22"/>
              </w:rPr>
            </w:pPr>
            <w:r>
              <w:rPr>
                <w:rFonts w:ascii="Times New Roman" w:hAnsi="Times New Roman"/>
                <w:kern w:val="0"/>
                <w:sz w:val="22"/>
              </w:rPr>
              <w:t>对培育壮大战略性新型产业具有示范、带动作用。</w:t>
            </w:r>
          </w:p>
        </w:tc>
        <w:tc>
          <w:tcPr>
            <w:tcW w:w="4253" w:type="dxa"/>
            <w:tcBorders>
              <w:top w:val="nil"/>
              <w:left w:val="nil"/>
              <w:bottom w:val="single" w:color="auto" w:sz="4" w:space="0"/>
              <w:right w:val="single" w:color="auto" w:sz="4" w:space="0"/>
            </w:tcBorders>
            <w:noWrap/>
            <w:vAlign w:val="center"/>
          </w:tcPr>
          <w:p w14:paraId="69F27F3E">
            <w:pPr>
              <w:widowControl/>
              <w:jc w:val="left"/>
              <w:rPr>
                <w:rFonts w:ascii="Times New Roman" w:hAnsi="Times New Roman"/>
                <w:kern w:val="0"/>
                <w:sz w:val="22"/>
              </w:rPr>
            </w:pPr>
            <w:r>
              <w:rPr>
                <w:rFonts w:ascii="Times New Roman" w:hAnsi="Times New Roman"/>
                <w:kern w:val="0"/>
                <w:sz w:val="22"/>
              </w:rPr>
              <w:t>符合条件得满分，其他酌情给分。</w:t>
            </w:r>
          </w:p>
        </w:tc>
        <w:tc>
          <w:tcPr>
            <w:tcW w:w="1560" w:type="dxa"/>
            <w:tcBorders>
              <w:top w:val="nil"/>
              <w:left w:val="nil"/>
              <w:bottom w:val="single" w:color="auto" w:sz="4" w:space="0"/>
              <w:right w:val="single" w:color="auto" w:sz="4" w:space="0"/>
            </w:tcBorders>
            <w:vAlign w:val="center"/>
          </w:tcPr>
          <w:p w14:paraId="6D9E3D11">
            <w:pPr>
              <w:widowControl/>
              <w:jc w:val="left"/>
              <w:rPr>
                <w:rFonts w:ascii="Times New Roman" w:hAnsi="Times New Roman"/>
                <w:kern w:val="0"/>
                <w:sz w:val="22"/>
              </w:rPr>
            </w:pPr>
            <w:r>
              <w:rPr>
                <w:rFonts w:ascii="Times New Roman" w:hAnsi="Times New Roman"/>
                <w:kern w:val="0"/>
                <w:sz w:val="22"/>
              </w:rPr>
              <w:t>1.申报材料</w:t>
            </w:r>
            <w:r>
              <w:br w:type="textWrapping"/>
            </w:r>
            <w:r>
              <w:rPr>
                <w:rFonts w:ascii="Times New Roman" w:hAnsi="Times New Roman"/>
                <w:kern w:val="0"/>
                <w:sz w:val="22"/>
              </w:rPr>
              <w:t>2.证明材料</w:t>
            </w:r>
          </w:p>
        </w:tc>
        <w:tc>
          <w:tcPr>
            <w:tcW w:w="1240" w:type="dxa"/>
            <w:tcBorders>
              <w:top w:val="nil"/>
              <w:left w:val="nil"/>
              <w:bottom w:val="single" w:color="auto" w:sz="4" w:space="0"/>
              <w:right w:val="single" w:color="auto" w:sz="4" w:space="0"/>
            </w:tcBorders>
            <w:noWrap/>
            <w:vAlign w:val="center"/>
          </w:tcPr>
          <w:p w14:paraId="00C2A73F">
            <w:pPr>
              <w:widowControl/>
              <w:jc w:val="left"/>
              <w:rPr>
                <w:rFonts w:ascii="Times New Roman" w:hAnsi="Times New Roman"/>
                <w:kern w:val="0"/>
                <w:sz w:val="22"/>
              </w:rPr>
            </w:pPr>
          </w:p>
        </w:tc>
      </w:tr>
      <w:tr w14:paraId="44C5A213">
        <w:tblPrEx>
          <w:tblCellMar>
            <w:top w:w="0" w:type="dxa"/>
            <w:left w:w="108" w:type="dxa"/>
            <w:bottom w:w="0" w:type="dxa"/>
            <w:right w:w="108" w:type="dxa"/>
          </w:tblCellMar>
        </w:tblPrEx>
        <w:trPr>
          <w:trHeight w:val="560" w:hRule="atLeast"/>
          <w:jc w:val="center"/>
        </w:trPr>
        <w:tc>
          <w:tcPr>
            <w:tcW w:w="1413" w:type="dxa"/>
            <w:vMerge w:val="continue"/>
            <w:tcBorders>
              <w:top w:val="nil"/>
              <w:left w:val="single" w:color="auto" w:sz="4" w:space="0"/>
              <w:bottom w:val="single" w:color="000000" w:sz="4" w:space="0"/>
              <w:right w:val="single" w:color="auto" w:sz="4" w:space="0"/>
            </w:tcBorders>
            <w:vAlign w:val="center"/>
          </w:tcPr>
          <w:p w14:paraId="62C26432">
            <w:pPr>
              <w:widowControl/>
              <w:jc w:val="left"/>
              <w:rPr>
                <w:rFonts w:ascii="Times New Roman" w:hAnsi="Times New Roman"/>
                <w:kern w:val="0"/>
                <w:sz w:val="22"/>
              </w:rPr>
            </w:pPr>
          </w:p>
        </w:tc>
        <w:tc>
          <w:tcPr>
            <w:tcW w:w="2551" w:type="dxa"/>
            <w:tcBorders>
              <w:top w:val="nil"/>
              <w:left w:val="nil"/>
              <w:bottom w:val="single" w:color="auto" w:sz="4" w:space="0"/>
              <w:right w:val="single" w:color="auto" w:sz="4" w:space="0"/>
            </w:tcBorders>
            <w:vAlign w:val="center"/>
          </w:tcPr>
          <w:p w14:paraId="186F133B">
            <w:pPr>
              <w:widowControl/>
              <w:jc w:val="left"/>
              <w:rPr>
                <w:rFonts w:ascii="Times New Roman" w:hAnsi="Times New Roman"/>
                <w:kern w:val="0"/>
                <w:sz w:val="22"/>
              </w:rPr>
            </w:pPr>
            <w:r>
              <w:rPr>
                <w:rFonts w:ascii="Times New Roman" w:hAnsi="Times New Roman"/>
                <w:kern w:val="0"/>
                <w:sz w:val="22"/>
              </w:rPr>
              <w:t>或改造提升传统产业</w:t>
            </w:r>
          </w:p>
        </w:tc>
        <w:tc>
          <w:tcPr>
            <w:tcW w:w="4253" w:type="dxa"/>
            <w:tcBorders>
              <w:top w:val="nil"/>
              <w:left w:val="nil"/>
              <w:bottom w:val="single" w:color="auto" w:sz="4" w:space="0"/>
              <w:right w:val="single" w:color="auto" w:sz="4" w:space="0"/>
            </w:tcBorders>
            <w:vAlign w:val="center"/>
          </w:tcPr>
          <w:p w14:paraId="57F7A1B0">
            <w:pPr>
              <w:widowControl/>
              <w:jc w:val="left"/>
              <w:rPr>
                <w:rFonts w:ascii="Times New Roman" w:hAnsi="Times New Roman"/>
                <w:kern w:val="0"/>
                <w:sz w:val="22"/>
              </w:rPr>
            </w:pPr>
            <w:r>
              <w:rPr>
                <w:rFonts w:ascii="Times New Roman" w:hAnsi="Times New Roman"/>
                <w:kern w:val="0"/>
                <w:sz w:val="22"/>
              </w:rPr>
              <w:t>对改造提升传统优势产业具有示范、带动作用。</w:t>
            </w:r>
          </w:p>
        </w:tc>
        <w:tc>
          <w:tcPr>
            <w:tcW w:w="4253" w:type="dxa"/>
            <w:tcBorders>
              <w:top w:val="nil"/>
              <w:left w:val="nil"/>
              <w:bottom w:val="single" w:color="auto" w:sz="4" w:space="0"/>
              <w:right w:val="single" w:color="auto" w:sz="4" w:space="0"/>
            </w:tcBorders>
            <w:noWrap/>
            <w:vAlign w:val="center"/>
          </w:tcPr>
          <w:p w14:paraId="3E64BBB4">
            <w:pPr>
              <w:widowControl/>
              <w:jc w:val="left"/>
              <w:rPr>
                <w:rFonts w:ascii="Times New Roman" w:hAnsi="Times New Roman"/>
                <w:kern w:val="0"/>
                <w:sz w:val="22"/>
              </w:rPr>
            </w:pPr>
            <w:r>
              <w:rPr>
                <w:rFonts w:ascii="Times New Roman" w:hAnsi="Times New Roman"/>
                <w:kern w:val="0"/>
                <w:sz w:val="22"/>
              </w:rPr>
              <w:t>符合条件得满分，其他酌情给分。</w:t>
            </w:r>
          </w:p>
        </w:tc>
        <w:tc>
          <w:tcPr>
            <w:tcW w:w="1560" w:type="dxa"/>
            <w:tcBorders>
              <w:top w:val="nil"/>
              <w:left w:val="nil"/>
              <w:bottom w:val="single" w:color="auto" w:sz="4" w:space="0"/>
              <w:right w:val="single" w:color="auto" w:sz="4" w:space="0"/>
            </w:tcBorders>
            <w:vAlign w:val="center"/>
          </w:tcPr>
          <w:p w14:paraId="52FF03ED">
            <w:pPr>
              <w:widowControl/>
              <w:jc w:val="left"/>
              <w:rPr>
                <w:rFonts w:ascii="Times New Roman" w:hAnsi="Times New Roman"/>
                <w:kern w:val="0"/>
                <w:sz w:val="22"/>
              </w:rPr>
            </w:pPr>
            <w:r>
              <w:rPr>
                <w:rFonts w:ascii="Times New Roman" w:hAnsi="Times New Roman"/>
                <w:kern w:val="0"/>
                <w:sz w:val="22"/>
              </w:rPr>
              <w:t>1.申报材料</w:t>
            </w:r>
            <w:r>
              <w:br w:type="textWrapping"/>
            </w:r>
            <w:r>
              <w:rPr>
                <w:rFonts w:ascii="Times New Roman" w:hAnsi="Times New Roman"/>
                <w:kern w:val="0"/>
                <w:sz w:val="22"/>
              </w:rPr>
              <w:t>2.证明材料</w:t>
            </w:r>
          </w:p>
        </w:tc>
        <w:tc>
          <w:tcPr>
            <w:tcW w:w="1240" w:type="dxa"/>
            <w:tcBorders>
              <w:top w:val="nil"/>
              <w:left w:val="nil"/>
              <w:bottom w:val="single" w:color="auto" w:sz="4" w:space="0"/>
              <w:right w:val="single" w:color="auto" w:sz="4" w:space="0"/>
            </w:tcBorders>
            <w:noWrap/>
            <w:vAlign w:val="center"/>
          </w:tcPr>
          <w:p w14:paraId="18F4C5D5">
            <w:pPr>
              <w:widowControl/>
              <w:jc w:val="left"/>
              <w:rPr>
                <w:rFonts w:ascii="Times New Roman" w:hAnsi="Times New Roman"/>
                <w:kern w:val="0"/>
                <w:sz w:val="22"/>
              </w:rPr>
            </w:pPr>
          </w:p>
        </w:tc>
      </w:tr>
      <w:tr w14:paraId="30764DFC">
        <w:tblPrEx>
          <w:tblCellMar>
            <w:top w:w="0" w:type="dxa"/>
            <w:left w:w="108" w:type="dxa"/>
            <w:bottom w:w="0" w:type="dxa"/>
            <w:right w:w="108" w:type="dxa"/>
          </w:tblCellMar>
        </w:tblPrEx>
        <w:trPr>
          <w:trHeight w:val="560" w:hRule="atLeast"/>
          <w:jc w:val="center"/>
        </w:trPr>
        <w:tc>
          <w:tcPr>
            <w:tcW w:w="1413" w:type="dxa"/>
            <w:vMerge w:val="continue"/>
            <w:tcBorders>
              <w:top w:val="nil"/>
              <w:left w:val="single" w:color="auto" w:sz="4" w:space="0"/>
              <w:bottom w:val="single" w:color="000000" w:sz="4" w:space="0"/>
              <w:right w:val="single" w:color="auto" w:sz="4" w:space="0"/>
            </w:tcBorders>
            <w:vAlign w:val="center"/>
          </w:tcPr>
          <w:p w14:paraId="53AD787D">
            <w:pPr>
              <w:widowControl/>
              <w:jc w:val="left"/>
              <w:rPr>
                <w:rFonts w:ascii="Times New Roman" w:hAnsi="Times New Roman"/>
                <w:kern w:val="0"/>
                <w:sz w:val="22"/>
              </w:rPr>
            </w:pPr>
          </w:p>
        </w:tc>
        <w:tc>
          <w:tcPr>
            <w:tcW w:w="2551" w:type="dxa"/>
            <w:tcBorders>
              <w:top w:val="nil"/>
              <w:left w:val="nil"/>
              <w:bottom w:val="single" w:color="auto" w:sz="4" w:space="0"/>
              <w:right w:val="single" w:color="auto" w:sz="4" w:space="0"/>
            </w:tcBorders>
            <w:vAlign w:val="center"/>
          </w:tcPr>
          <w:p w14:paraId="6CD21E82">
            <w:pPr>
              <w:widowControl/>
              <w:jc w:val="left"/>
              <w:rPr>
                <w:rFonts w:ascii="Times New Roman" w:hAnsi="Times New Roman"/>
                <w:kern w:val="0"/>
                <w:sz w:val="22"/>
              </w:rPr>
            </w:pPr>
            <w:r>
              <w:rPr>
                <w:rFonts w:ascii="Times New Roman" w:hAnsi="Times New Roman"/>
                <w:kern w:val="0"/>
                <w:sz w:val="22"/>
              </w:rPr>
              <w:t>或参加行业标准编制</w:t>
            </w:r>
          </w:p>
        </w:tc>
        <w:tc>
          <w:tcPr>
            <w:tcW w:w="4253" w:type="dxa"/>
            <w:tcBorders>
              <w:top w:val="nil"/>
              <w:left w:val="nil"/>
              <w:bottom w:val="single" w:color="auto" w:sz="4" w:space="0"/>
              <w:right w:val="single" w:color="auto" w:sz="4" w:space="0"/>
            </w:tcBorders>
            <w:vAlign w:val="center"/>
          </w:tcPr>
          <w:p w14:paraId="4CED568B">
            <w:pPr>
              <w:widowControl/>
              <w:jc w:val="left"/>
              <w:rPr>
                <w:rFonts w:ascii="Times New Roman" w:hAnsi="Times New Roman"/>
                <w:kern w:val="0"/>
                <w:sz w:val="22"/>
              </w:rPr>
            </w:pPr>
            <w:r>
              <w:rPr>
                <w:rFonts w:ascii="Times New Roman" w:hAnsi="Times New Roman"/>
                <w:kern w:val="0"/>
                <w:sz w:val="22"/>
              </w:rPr>
              <w:t>参加国家、部（委）行业标准编制。</w:t>
            </w:r>
          </w:p>
        </w:tc>
        <w:tc>
          <w:tcPr>
            <w:tcW w:w="4253" w:type="dxa"/>
            <w:tcBorders>
              <w:top w:val="nil"/>
              <w:left w:val="nil"/>
              <w:bottom w:val="single" w:color="auto" w:sz="4" w:space="0"/>
              <w:right w:val="single" w:color="auto" w:sz="4" w:space="0"/>
            </w:tcBorders>
            <w:noWrap/>
            <w:vAlign w:val="center"/>
          </w:tcPr>
          <w:p w14:paraId="32C4E050">
            <w:pPr>
              <w:widowControl/>
              <w:jc w:val="left"/>
              <w:rPr>
                <w:rFonts w:ascii="Times New Roman" w:hAnsi="Times New Roman"/>
                <w:kern w:val="0"/>
                <w:sz w:val="22"/>
              </w:rPr>
            </w:pPr>
            <w:r>
              <w:rPr>
                <w:rFonts w:ascii="Times New Roman" w:hAnsi="Times New Roman"/>
                <w:kern w:val="0"/>
                <w:sz w:val="22"/>
              </w:rPr>
              <w:t>符合条件得满分，其他酌情给分。</w:t>
            </w:r>
          </w:p>
        </w:tc>
        <w:tc>
          <w:tcPr>
            <w:tcW w:w="1560" w:type="dxa"/>
            <w:tcBorders>
              <w:top w:val="nil"/>
              <w:left w:val="nil"/>
              <w:bottom w:val="single" w:color="auto" w:sz="4" w:space="0"/>
              <w:right w:val="single" w:color="auto" w:sz="4" w:space="0"/>
            </w:tcBorders>
            <w:vAlign w:val="center"/>
          </w:tcPr>
          <w:p w14:paraId="73843F0B">
            <w:pPr>
              <w:widowControl/>
              <w:jc w:val="left"/>
              <w:rPr>
                <w:rFonts w:ascii="Times New Roman" w:hAnsi="Times New Roman"/>
                <w:kern w:val="0"/>
                <w:sz w:val="22"/>
              </w:rPr>
            </w:pPr>
            <w:r>
              <w:rPr>
                <w:rFonts w:ascii="Times New Roman" w:hAnsi="Times New Roman"/>
                <w:kern w:val="0"/>
                <w:sz w:val="22"/>
              </w:rPr>
              <w:t>1.申报材料</w:t>
            </w:r>
            <w:r>
              <w:br w:type="textWrapping"/>
            </w:r>
            <w:r>
              <w:rPr>
                <w:rFonts w:ascii="Times New Roman" w:hAnsi="Times New Roman"/>
                <w:kern w:val="0"/>
                <w:sz w:val="22"/>
              </w:rPr>
              <w:t>2.证明材料</w:t>
            </w:r>
          </w:p>
        </w:tc>
        <w:tc>
          <w:tcPr>
            <w:tcW w:w="1240" w:type="dxa"/>
            <w:tcBorders>
              <w:top w:val="nil"/>
              <w:left w:val="nil"/>
              <w:bottom w:val="single" w:color="auto" w:sz="4" w:space="0"/>
              <w:right w:val="single" w:color="auto" w:sz="4" w:space="0"/>
            </w:tcBorders>
            <w:noWrap/>
            <w:vAlign w:val="center"/>
          </w:tcPr>
          <w:p w14:paraId="689B1877">
            <w:pPr>
              <w:widowControl/>
              <w:jc w:val="left"/>
              <w:rPr>
                <w:rFonts w:ascii="Times New Roman" w:hAnsi="Times New Roman"/>
                <w:kern w:val="0"/>
                <w:sz w:val="22"/>
              </w:rPr>
            </w:pPr>
          </w:p>
        </w:tc>
      </w:tr>
      <w:tr w14:paraId="015CB6E7">
        <w:tblPrEx>
          <w:tblCellMar>
            <w:top w:w="0" w:type="dxa"/>
            <w:left w:w="108" w:type="dxa"/>
            <w:bottom w:w="0" w:type="dxa"/>
            <w:right w:w="108" w:type="dxa"/>
          </w:tblCellMar>
        </w:tblPrEx>
        <w:trPr>
          <w:trHeight w:val="560" w:hRule="atLeast"/>
          <w:jc w:val="center"/>
        </w:trPr>
        <w:tc>
          <w:tcPr>
            <w:tcW w:w="1413" w:type="dxa"/>
            <w:vMerge w:val="restart"/>
            <w:tcBorders>
              <w:top w:val="nil"/>
              <w:left w:val="single" w:color="auto" w:sz="4" w:space="0"/>
              <w:right w:val="single" w:color="auto" w:sz="4" w:space="0"/>
            </w:tcBorders>
            <w:vAlign w:val="center"/>
          </w:tcPr>
          <w:p w14:paraId="6764B727">
            <w:pPr>
              <w:widowControl/>
              <w:jc w:val="left"/>
              <w:rPr>
                <w:rFonts w:ascii="Times New Roman" w:hAnsi="Times New Roman"/>
                <w:kern w:val="0"/>
                <w:sz w:val="22"/>
              </w:rPr>
            </w:pPr>
            <w:r>
              <w:rPr>
                <w:rFonts w:ascii="Times New Roman" w:hAnsi="Times New Roman"/>
                <w:kern w:val="0"/>
                <w:sz w:val="22"/>
              </w:rPr>
              <w:t>产品与品牌影响力（15分）</w:t>
            </w:r>
          </w:p>
        </w:tc>
        <w:tc>
          <w:tcPr>
            <w:tcW w:w="2551" w:type="dxa"/>
            <w:tcBorders>
              <w:top w:val="nil"/>
              <w:left w:val="nil"/>
              <w:bottom w:val="single" w:color="auto" w:sz="4" w:space="0"/>
              <w:right w:val="single" w:color="auto" w:sz="4" w:space="0"/>
            </w:tcBorders>
            <w:vAlign w:val="center"/>
          </w:tcPr>
          <w:p w14:paraId="371D09B4">
            <w:pPr>
              <w:widowControl/>
              <w:jc w:val="left"/>
              <w:rPr>
                <w:rFonts w:ascii="Times New Roman" w:hAnsi="Times New Roman"/>
                <w:kern w:val="0"/>
                <w:sz w:val="22"/>
              </w:rPr>
            </w:pPr>
            <w:r>
              <w:rPr>
                <w:rFonts w:ascii="Times New Roman" w:hAnsi="Times New Roman"/>
                <w:kern w:val="0"/>
                <w:sz w:val="22"/>
              </w:rPr>
              <w:t>产品质量好、市场占有率高（7分）</w:t>
            </w:r>
          </w:p>
        </w:tc>
        <w:tc>
          <w:tcPr>
            <w:tcW w:w="4253" w:type="dxa"/>
            <w:tcBorders>
              <w:top w:val="nil"/>
              <w:left w:val="nil"/>
              <w:bottom w:val="single" w:color="auto" w:sz="4" w:space="0"/>
              <w:right w:val="single" w:color="auto" w:sz="4" w:space="0"/>
            </w:tcBorders>
            <w:vAlign w:val="center"/>
          </w:tcPr>
          <w:p w14:paraId="0FA2B32F">
            <w:pPr>
              <w:widowControl/>
              <w:jc w:val="left"/>
              <w:rPr>
                <w:rFonts w:ascii="Times New Roman" w:hAnsi="Times New Roman"/>
                <w:kern w:val="0"/>
                <w:sz w:val="22"/>
              </w:rPr>
            </w:pPr>
            <w:r>
              <w:rPr>
                <w:rFonts w:ascii="Times New Roman" w:hAnsi="Times New Roman"/>
                <w:kern w:val="0"/>
                <w:sz w:val="22"/>
              </w:rPr>
              <w:t>获得质量管理体系认证；产品市场占有率进同行业前30%。</w:t>
            </w:r>
          </w:p>
        </w:tc>
        <w:tc>
          <w:tcPr>
            <w:tcW w:w="4253" w:type="dxa"/>
            <w:tcBorders>
              <w:top w:val="nil"/>
              <w:left w:val="nil"/>
              <w:bottom w:val="single" w:color="auto" w:sz="4" w:space="0"/>
              <w:right w:val="single" w:color="auto" w:sz="4" w:space="0"/>
            </w:tcBorders>
            <w:noWrap/>
            <w:vAlign w:val="center"/>
          </w:tcPr>
          <w:p w14:paraId="66C368BE">
            <w:pPr>
              <w:widowControl/>
              <w:jc w:val="left"/>
              <w:rPr>
                <w:rFonts w:ascii="Times New Roman" w:hAnsi="Times New Roman"/>
                <w:kern w:val="0"/>
                <w:sz w:val="22"/>
              </w:rPr>
            </w:pPr>
            <w:r>
              <w:rPr>
                <w:rFonts w:ascii="Times New Roman" w:hAnsi="Times New Roman"/>
                <w:kern w:val="0"/>
                <w:sz w:val="22"/>
              </w:rPr>
              <w:t>符合条件得满分，其他酌情给分。</w:t>
            </w:r>
          </w:p>
        </w:tc>
        <w:tc>
          <w:tcPr>
            <w:tcW w:w="1560" w:type="dxa"/>
            <w:tcBorders>
              <w:top w:val="nil"/>
              <w:left w:val="nil"/>
              <w:bottom w:val="single" w:color="auto" w:sz="4" w:space="0"/>
              <w:right w:val="single" w:color="auto" w:sz="4" w:space="0"/>
            </w:tcBorders>
            <w:vAlign w:val="center"/>
          </w:tcPr>
          <w:p w14:paraId="3F7B3353">
            <w:pPr>
              <w:widowControl/>
              <w:jc w:val="left"/>
              <w:rPr>
                <w:rFonts w:ascii="Times New Roman" w:hAnsi="Times New Roman"/>
                <w:kern w:val="0"/>
                <w:sz w:val="22"/>
              </w:rPr>
            </w:pPr>
            <w:r>
              <w:rPr>
                <w:rFonts w:ascii="Times New Roman" w:hAnsi="Times New Roman"/>
                <w:kern w:val="0"/>
                <w:sz w:val="22"/>
              </w:rPr>
              <w:t>1.申报材料</w:t>
            </w:r>
            <w:r>
              <w:br w:type="textWrapping"/>
            </w:r>
            <w:r>
              <w:rPr>
                <w:rFonts w:ascii="Times New Roman" w:hAnsi="Times New Roman"/>
                <w:kern w:val="0"/>
                <w:sz w:val="22"/>
              </w:rPr>
              <w:t>2.证明材料</w:t>
            </w:r>
          </w:p>
        </w:tc>
        <w:tc>
          <w:tcPr>
            <w:tcW w:w="1240" w:type="dxa"/>
            <w:tcBorders>
              <w:top w:val="nil"/>
              <w:left w:val="nil"/>
              <w:bottom w:val="single" w:color="auto" w:sz="4" w:space="0"/>
              <w:right w:val="single" w:color="auto" w:sz="4" w:space="0"/>
            </w:tcBorders>
            <w:noWrap/>
            <w:vAlign w:val="center"/>
          </w:tcPr>
          <w:p w14:paraId="76D484F5">
            <w:pPr>
              <w:widowControl/>
              <w:jc w:val="left"/>
              <w:rPr>
                <w:rFonts w:ascii="Times New Roman" w:hAnsi="Times New Roman"/>
                <w:kern w:val="0"/>
                <w:sz w:val="22"/>
              </w:rPr>
            </w:pPr>
          </w:p>
        </w:tc>
      </w:tr>
      <w:tr w14:paraId="79378E5B">
        <w:tblPrEx>
          <w:tblCellMar>
            <w:top w:w="0" w:type="dxa"/>
            <w:left w:w="108" w:type="dxa"/>
            <w:bottom w:w="0" w:type="dxa"/>
            <w:right w:w="108" w:type="dxa"/>
          </w:tblCellMar>
        </w:tblPrEx>
        <w:trPr>
          <w:trHeight w:val="560" w:hRule="atLeast"/>
          <w:jc w:val="center"/>
        </w:trPr>
        <w:tc>
          <w:tcPr>
            <w:tcW w:w="1413" w:type="dxa"/>
            <w:vMerge w:val="continue"/>
            <w:tcBorders>
              <w:left w:val="single" w:color="auto" w:sz="4" w:space="0"/>
              <w:bottom w:val="single" w:color="000000" w:sz="4" w:space="0"/>
              <w:right w:val="single" w:color="auto" w:sz="4" w:space="0"/>
            </w:tcBorders>
            <w:vAlign w:val="center"/>
          </w:tcPr>
          <w:p w14:paraId="746C81BF">
            <w:pPr>
              <w:widowControl/>
              <w:jc w:val="left"/>
              <w:rPr>
                <w:rFonts w:ascii="Times New Roman" w:hAnsi="Times New Roman"/>
                <w:kern w:val="0"/>
                <w:sz w:val="22"/>
              </w:rPr>
            </w:pPr>
          </w:p>
        </w:tc>
        <w:tc>
          <w:tcPr>
            <w:tcW w:w="2551" w:type="dxa"/>
            <w:tcBorders>
              <w:top w:val="nil"/>
              <w:left w:val="nil"/>
              <w:bottom w:val="single" w:color="auto" w:sz="4" w:space="0"/>
              <w:right w:val="single" w:color="auto" w:sz="4" w:space="0"/>
            </w:tcBorders>
            <w:vAlign w:val="center"/>
          </w:tcPr>
          <w:p w14:paraId="617682E6">
            <w:pPr>
              <w:widowControl/>
              <w:jc w:val="left"/>
              <w:rPr>
                <w:rFonts w:ascii="Times New Roman" w:hAnsi="Times New Roman"/>
                <w:kern w:val="0"/>
                <w:sz w:val="22"/>
              </w:rPr>
            </w:pPr>
            <w:r>
              <w:rPr>
                <w:rFonts w:ascii="Times New Roman" w:hAnsi="Times New Roman"/>
                <w:kern w:val="0"/>
                <w:sz w:val="22"/>
              </w:rPr>
              <w:t>品牌知名度高（8分）</w:t>
            </w:r>
          </w:p>
        </w:tc>
        <w:tc>
          <w:tcPr>
            <w:tcW w:w="4253" w:type="dxa"/>
            <w:tcBorders>
              <w:top w:val="nil"/>
              <w:left w:val="nil"/>
              <w:bottom w:val="single" w:color="auto" w:sz="4" w:space="0"/>
              <w:right w:val="single" w:color="auto" w:sz="4" w:space="0"/>
            </w:tcBorders>
            <w:vAlign w:val="center"/>
          </w:tcPr>
          <w:p w14:paraId="4D27584B">
            <w:pPr>
              <w:widowControl/>
              <w:jc w:val="left"/>
              <w:rPr>
                <w:rFonts w:ascii="Times New Roman" w:hAnsi="Times New Roman"/>
                <w:kern w:val="0"/>
                <w:sz w:val="22"/>
              </w:rPr>
            </w:pPr>
            <w:r>
              <w:rPr>
                <w:rFonts w:ascii="Times New Roman" w:hAnsi="Times New Roman"/>
                <w:kern w:val="0"/>
                <w:sz w:val="22"/>
              </w:rPr>
              <w:t>属于国际、国家、省、市名牌。</w:t>
            </w:r>
          </w:p>
        </w:tc>
        <w:tc>
          <w:tcPr>
            <w:tcW w:w="4253" w:type="dxa"/>
            <w:tcBorders>
              <w:top w:val="nil"/>
              <w:left w:val="nil"/>
              <w:bottom w:val="single" w:color="auto" w:sz="4" w:space="0"/>
              <w:right w:val="single" w:color="auto" w:sz="4" w:space="0"/>
            </w:tcBorders>
            <w:noWrap/>
            <w:vAlign w:val="center"/>
          </w:tcPr>
          <w:p w14:paraId="4C594CFE">
            <w:pPr>
              <w:widowControl/>
              <w:jc w:val="left"/>
              <w:rPr>
                <w:rFonts w:ascii="Times New Roman" w:hAnsi="Times New Roman"/>
                <w:kern w:val="0"/>
                <w:sz w:val="22"/>
              </w:rPr>
            </w:pPr>
            <w:r>
              <w:rPr>
                <w:rFonts w:ascii="Times New Roman" w:hAnsi="Times New Roman"/>
                <w:kern w:val="0"/>
                <w:sz w:val="22"/>
              </w:rPr>
              <w:t>符合条件得满分，其他酌情给分。</w:t>
            </w:r>
          </w:p>
        </w:tc>
        <w:tc>
          <w:tcPr>
            <w:tcW w:w="1560" w:type="dxa"/>
            <w:tcBorders>
              <w:top w:val="nil"/>
              <w:left w:val="nil"/>
              <w:bottom w:val="single" w:color="auto" w:sz="4" w:space="0"/>
              <w:right w:val="single" w:color="auto" w:sz="4" w:space="0"/>
            </w:tcBorders>
            <w:vAlign w:val="center"/>
          </w:tcPr>
          <w:p w14:paraId="57D18AE3">
            <w:pPr>
              <w:widowControl/>
              <w:jc w:val="left"/>
              <w:rPr>
                <w:rFonts w:ascii="Times New Roman" w:hAnsi="Times New Roman"/>
                <w:kern w:val="0"/>
                <w:sz w:val="22"/>
              </w:rPr>
            </w:pPr>
            <w:r>
              <w:rPr>
                <w:rFonts w:ascii="Times New Roman" w:hAnsi="Times New Roman"/>
                <w:kern w:val="0"/>
                <w:sz w:val="22"/>
              </w:rPr>
              <w:t>1.申报材料</w:t>
            </w:r>
            <w:r>
              <w:br w:type="textWrapping"/>
            </w:r>
            <w:r>
              <w:rPr>
                <w:rFonts w:ascii="Times New Roman" w:hAnsi="Times New Roman"/>
                <w:kern w:val="0"/>
                <w:sz w:val="22"/>
              </w:rPr>
              <w:t>2.证明材料</w:t>
            </w:r>
          </w:p>
        </w:tc>
        <w:tc>
          <w:tcPr>
            <w:tcW w:w="1240" w:type="dxa"/>
            <w:tcBorders>
              <w:top w:val="nil"/>
              <w:left w:val="nil"/>
              <w:bottom w:val="single" w:color="auto" w:sz="4" w:space="0"/>
              <w:right w:val="single" w:color="auto" w:sz="4" w:space="0"/>
            </w:tcBorders>
            <w:noWrap/>
            <w:vAlign w:val="center"/>
          </w:tcPr>
          <w:p w14:paraId="43BEF599">
            <w:pPr>
              <w:widowControl/>
              <w:jc w:val="left"/>
              <w:rPr>
                <w:rFonts w:ascii="Times New Roman" w:hAnsi="Times New Roman"/>
                <w:kern w:val="0"/>
                <w:sz w:val="22"/>
              </w:rPr>
            </w:pPr>
          </w:p>
        </w:tc>
      </w:tr>
      <w:tr w14:paraId="76B1115B">
        <w:tblPrEx>
          <w:tblCellMar>
            <w:top w:w="0" w:type="dxa"/>
            <w:left w:w="108" w:type="dxa"/>
            <w:bottom w:w="0" w:type="dxa"/>
            <w:right w:w="108" w:type="dxa"/>
          </w:tblCellMar>
        </w:tblPrEx>
        <w:trPr>
          <w:trHeight w:val="560" w:hRule="atLeast"/>
          <w:jc w:val="center"/>
        </w:trPr>
        <w:tc>
          <w:tcPr>
            <w:tcW w:w="1413" w:type="dxa"/>
            <w:vMerge w:val="restart"/>
            <w:tcBorders>
              <w:top w:val="nil"/>
              <w:left w:val="single" w:color="auto" w:sz="4" w:space="0"/>
              <w:bottom w:val="single" w:color="000000" w:sz="4" w:space="0"/>
              <w:right w:val="single" w:color="auto" w:sz="4" w:space="0"/>
            </w:tcBorders>
            <w:vAlign w:val="center"/>
          </w:tcPr>
          <w:p w14:paraId="2ABACE26">
            <w:pPr>
              <w:widowControl/>
              <w:jc w:val="center"/>
              <w:rPr>
                <w:rFonts w:ascii="Times New Roman" w:hAnsi="Times New Roman"/>
                <w:kern w:val="0"/>
                <w:sz w:val="22"/>
              </w:rPr>
            </w:pPr>
            <w:r>
              <w:rPr>
                <w:rFonts w:ascii="Times New Roman" w:hAnsi="Times New Roman"/>
                <w:kern w:val="0"/>
                <w:sz w:val="22"/>
              </w:rPr>
              <w:t>创新与研发能力 （25分）</w:t>
            </w:r>
          </w:p>
        </w:tc>
        <w:tc>
          <w:tcPr>
            <w:tcW w:w="2551" w:type="dxa"/>
            <w:tcBorders>
              <w:top w:val="nil"/>
              <w:left w:val="nil"/>
              <w:bottom w:val="single" w:color="auto" w:sz="4" w:space="0"/>
              <w:right w:val="single" w:color="auto" w:sz="4" w:space="0"/>
            </w:tcBorders>
            <w:vAlign w:val="center"/>
          </w:tcPr>
          <w:p w14:paraId="67B55418">
            <w:pPr>
              <w:widowControl/>
              <w:jc w:val="left"/>
              <w:rPr>
                <w:rFonts w:ascii="Times New Roman" w:hAnsi="Times New Roman"/>
                <w:kern w:val="0"/>
                <w:sz w:val="22"/>
              </w:rPr>
            </w:pPr>
            <w:r>
              <w:rPr>
                <w:rFonts w:ascii="Times New Roman" w:hAnsi="Times New Roman"/>
                <w:kern w:val="0"/>
                <w:sz w:val="22"/>
              </w:rPr>
              <w:t>生产制造业：</w:t>
            </w:r>
          </w:p>
          <w:p w14:paraId="57F13746">
            <w:pPr>
              <w:widowControl/>
              <w:jc w:val="left"/>
              <w:rPr>
                <w:rFonts w:ascii="Times New Roman" w:hAnsi="Times New Roman"/>
                <w:kern w:val="0"/>
                <w:sz w:val="22"/>
              </w:rPr>
            </w:pPr>
            <w:r>
              <w:rPr>
                <w:rFonts w:ascii="Times New Roman" w:hAnsi="Times New Roman"/>
                <w:kern w:val="0"/>
                <w:sz w:val="22"/>
              </w:rPr>
              <w:t>（1）研发经费占比（10分）</w:t>
            </w:r>
          </w:p>
        </w:tc>
        <w:tc>
          <w:tcPr>
            <w:tcW w:w="4253" w:type="dxa"/>
            <w:tcBorders>
              <w:top w:val="nil"/>
              <w:left w:val="nil"/>
              <w:bottom w:val="single" w:color="auto" w:sz="4" w:space="0"/>
              <w:right w:val="single" w:color="auto" w:sz="4" w:space="0"/>
            </w:tcBorders>
            <w:vAlign w:val="center"/>
          </w:tcPr>
          <w:p w14:paraId="7B3DB276">
            <w:pPr>
              <w:widowControl/>
              <w:jc w:val="left"/>
              <w:rPr>
                <w:rFonts w:ascii="Times New Roman" w:hAnsi="Times New Roman"/>
                <w:kern w:val="0"/>
                <w:sz w:val="22"/>
              </w:rPr>
            </w:pPr>
            <w:r>
              <w:rPr>
                <w:rFonts w:ascii="Times New Roman" w:hAnsi="Times New Roman"/>
                <w:kern w:val="0"/>
                <w:sz w:val="22"/>
              </w:rPr>
              <w:t>企业研发投入占年销售收入</w:t>
            </w:r>
            <w:r>
              <w:rPr>
                <w:rFonts w:hint="eastAsia" w:ascii="Times New Roman" w:hAnsi="Times New Roman"/>
                <w:kern w:val="0"/>
                <w:sz w:val="22"/>
              </w:rPr>
              <w:t>的</w:t>
            </w:r>
            <w:r>
              <w:rPr>
                <w:rFonts w:ascii="Times New Roman" w:hAnsi="Times New Roman"/>
                <w:kern w:val="0"/>
                <w:sz w:val="22"/>
              </w:rPr>
              <w:t>比例</w:t>
            </w:r>
          </w:p>
        </w:tc>
        <w:tc>
          <w:tcPr>
            <w:tcW w:w="4253" w:type="dxa"/>
            <w:tcBorders>
              <w:top w:val="nil"/>
              <w:left w:val="nil"/>
              <w:bottom w:val="single" w:color="auto" w:sz="4" w:space="0"/>
              <w:right w:val="single" w:color="auto" w:sz="4" w:space="0"/>
            </w:tcBorders>
            <w:noWrap/>
            <w:vAlign w:val="center"/>
          </w:tcPr>
          <w:p w14:paraId="546BBE24">
            <w:pPr>
              <w:widowControl/>
              <w:jc w:val="left"/>
              <w:rPr>
                <w:rFonts w:ascii="Times New Roman" w:hAnsi="Times New Roman"/>
                <w:sz w:val="22"/>
              </w:rPr>
            </w:pPr>
            <w:r>
              <w:rPr>
                <w:rFonts w:hint="eastAsia" w:ascii="Times New Roman" w:hAnsi="Times New Roman"/>
                <w:sz w:val="22"/>
              </w:rPr>
              <w:t>占比</w:t>
            </w:r>
            <w:r>
              <w:rPr>
                <w:rFonts w:ascii="Times New Roman" w:hAnsi="Times New Roman"/>
                <w:sz w:val="22"/>
              </w:rPr>
              <w:t>达5%及以上的得满分，4%-5%扣1分，3%-4%扣2分，2%-3%扣3分，1%-2%扣4分</w:t>
            </w:r>
            <w:r>
              <w:rPr>
                <w:rFonts w:hint="eastAsia" w:ascii="Times New Roman" w:hAnsi="Times New Roman"/>
                <w:sz w:val="22"/>
              </w:rPr>
              <w:t>，</w:t>
            </w:r>
            <w:r>
              <w:rPr>
                <w:rFonts w:ascii="Times New Roman" w:hAnsi="Times New Roman"/>
                <w:sz w:val="22"/>
              </w:rPr>
              <w:t>0-1%扣6分</w:t>
            </w:r>
            <w:r>
              <w:rPr>
                <w:rFonts w:hint="eastAsia" w:ascii="Times New Roman" w:hAnsi="Times New Roman"/>
                <w:sz w:val="22"/>
              </w:rPr>
              <w:t>，没有</w:t>
            </w:r>
            <w:r>
              <w:rPr>
                <w:rFonts w:ascii="Times New Roman" w:hAnsi="Times New Roman"/>
                <w:sz w:val="22"/>
              </w:rPr>
              <w:t>不得分。</w:t>
            </w:r>
          </w:p>
        </w:tc>
        <w:tc>
          <w:tcPr>
            <w:tcW w:w="1560" w:type="dxa"/>
            <w:tcBorders>
              <w:top w:val="nil"/>
              <w:left w:val="nil"/>
              <w:bottom w:val="single" w:color="auto" w:sz="4" w:space="0"/>
              <w:right w:val="single" w:color="auto" w:sz="4" w:space="0"/>
            </w:tcBorders>
            <w:vAlign w:val="center"/>
          </w:tcPr>
          <w:p w14:paraId="4CA80803">
            <w:pPr>
              <w:widowControl/>
              <w:jc w:val="left"/>
              <w:rPr>
                <w:rFonts w:ascii="Times New Roman" w:hAnsi="Times New Roman"/>
                <w:kern w:val="0"/>
                <w:sz w:val="22"/>
              </w:rPr>
            </w:pPr>
            <w:r>
              <w:rPr>
                <w:rFonts w:ascii="Times New Roman" w:hAnsi="Times New Roman"/>
                <w:kern w:val="0"/>
                <w:sz w:val="22"/>
              </w:rPr>
              <w:t>1.申报材料     2.审计报告</w:t>
            </w:r>
          </w:p>
        </w:tc>
        <w:tc>
          <w:tcPr>
            <w:tcW w:w="1240" w:type="dxa"/>
            <w:tcBorders>
              <w:top w:val="nil"/>
              <w:left w:val="nil"/>
              <w:bottom w:val="single" w:color="auto" w:sz="4" w:space="0"/>
              <w:right w:val="single" w:color="auto" w:sz="4" w:space="0"/>
            </w:tcBorders>
            <w:noWrap/>
            <w:vAlign w:val="center"/>
          </w:tcPr>
          <w:p w14:paraId="13CA2850">
            <w:pPr>
              <w:widowControl/>
              <w:jc w:val="left"/>
              <w:rPr>
                <w:rFonts w:ascii="Times New Roman" w:hAnsi="Times New Roman"/>
                <w:kern w:val="0"/>
                <w:sz w:val="22"/>
              </w:rPr>
            </w:pPr>
          </w:p>
        </w:tc>
      </w:tr>
      <w:tr w14:paraId="6A5728E1">
        <w:tblPrEx>
          <w:tblCellMar>
            <w:top w:w="0" w:type="dxa"/>
            <w:left w:w="108" w:type="dxa"/>
            <w:bottom w:w="0" w:type="dxa"/>
            <w:right w:w="108" w:type="dxa"/>
          </w:tblCellMar>
        </w:tblPrEx>
        <w:trPr>
          <w:trHeight w:val="560" w:hRule="atLeast"/>
          <w:jc w:val="center"/>
        </w:trPr>
        <w:tc>
          <w:tcPr>
            <w:tcW w:w="1413" w:type="dxa"/>
            <w:vMerge w:val="continue"/>
            <w:tcBorders>
              <w:top w:val="nil"/>
              <w:left w:val="single" w:color="auto" w:sz="4" w:space="0"/>
              <w:bottom w:val="single" w:color="000000" w:sz="4" w:space="0"/>
              <w:right w:val="single" w:color="auto" w:sz="4" w:space="0"/>
            </w:tcBorders>
            <w:vAlign w:val="center"/>
          </w:tcPr>
          <w:p w14:paraId="4351F327">
            <w:pPr>
              <w:widowControl/>
              <w:jc w:val="left"/>
              <w:rPr>
                <w:rFonts w:ascii="Times New Roman" w:hAnsi="Times New Roman"/>
                <w:kern w:val="0"/>
                <w:sz w:val="22"/>
              </w:rPr>
            </w:pPr>
          </w:p>
        </w:tc>
        <w:tc>
          <w:tcPr>
            <w:tcW w:w="2551" w:type="dxa"/>
            <w:tcBorders>
              <w:top w:val="nil"/>
              <w:left w:val="nil"/>
              <w:bottom w:val="single" w:color="auto" w:sz="4" w:space="0"/>
              <w:right w:val="single" w:color="auto" w:sz="4" w:space="0"/>
            </w:tcBorders>
            <w:vAlign w:val="center"/>
          </w:tcPr>
          <w:p w14:paraId="40093F26">
            <w:pPr>
              <w:widowControl/>
              <w:jc w:val="left"/>
              <w:rPr>
                <w:rFonts w:ascii="Times New Roman" w:hAnsi="Times New Roman"/>
                <w:kern w:val="0"/>
                <w:sz w:val="22"/>
              </w:rPr>
            </w:pPr>
            <w:r>
              <w:rPr>
                <w:rFonts w:ascii="Times New Roman" w:hAnsi="Times New Roman"/>
                <w:kern w:val="0"/>
                <w:sz w:val="22"/>
              </w:rPr>
              <w:t>（2）专利数量（10分）</w:t>
            </w:r>
          </w:p>
        </w:tc>
        <w:tc>
          <w:tcPr>
            <w:tcW w:w="4253" w:type="dxa"/>
            <w:tcBorders>
              <w:top w:val="nil"/>
              <w:left w:val="nil"/>
              <w:bottom w:val="single" w:color="auto" w:sz="4" w:space="0"/>
              <w:right w:val="single" w:color="auto" w:sz="4" w:space="0"/>
            </w:tcBorders>
            <w:vAlign w:val="center"/>
          </w:tcPr>
          <w:p w14:paraId="10EE3692">
            <w:pPr>
              <w:widowControl/>
              <w:jc w:val="left"/>
              <w:rPr>
                <w:rFonts w:ascii="Times New Roman" w:hAnsi="Times New Roman"/>
                <w:kern w:val="0"/>
                <w:sz w:val="22"/>
              </w:rPr>
            </w:pPr>
            <w:r>
              <w:rPr>
                <w:rFonts w:ascii="Times New Roman" w:hAnsi="Times New Roman"/>
                <w:kern w:val="0"/>
                <w:sz w:val="22"/>
              </w:rPr>
              <w:t>当年受理的专利申请数大于5项，或取得专利技术授权不少于3项。</w:t>
            </w:r>
          </w:p>
        </w:tc>
        <w:tc>
          <w:tcPr>
            <w:tcW w:w="4253" w:type="dxa"/>
            <w:tcBorders>
              <w:top w:val="nil"/>
              <w:left w:val="nil"/>
              <w:bottom w:val="single" w:color="auto" w:sz="4" w:space="0"/>
              <w:right w:val="single" w:color="auto" w:sz="4" w:space="0"/>
            </w:tcBorders>
            <w:noWrap/>
            <w:vAlign w:val="center"/>
          </w:tcPr>
          <w:p w14:paraId="2521EEBD">
            <w:pPr>
              <w:widowControl/>
              <w:jc w:val="left"/>
              <w:rPr>
                <w:rFonts w:ascii="Times New Roman" w:hAnsi="Times New Roman"/>
                <w:kern w:val="0"/>
                <w:sz w:val="22"/>
              </w:rPr>
            </w:pPr>
            <w:r>
              <w:rPr>
                <w:rFonts w:hint="eastAsia" w:ascii="Times New Roman" w:hAnsi="Times New Roman"/>
                <w:kern w:val="0"/>
                <w:sz w:val="22"/>
              </w:rPr>
              <w:t>满足</w:t>
            </w:r>
            <w:r>
              <w:rPr>
                <w:rFonts w:ascii="Times New Roman" w:hAnsi="Times New Roman"/>
                <w:kern w:val="0"/>
                <w:sz w:val="22"/>
              </w:rPr>
              <w:t>条件</w:t>
            </w:r>
            <w:r>
              <w:rPr>
                <w:rFonts w:hint="eastAsia" w:ascii="Times New Roman" w:hAnsi="Times New Roman"/>
                <w:kern w:val="0"/>
                <w:sz w:val="22"/>
              </w:rPr>
              <w:t>的</w:t>
            </w:r>
            <w:r>
              <w:rPr>
                <w:rFonts w:ascii="Times New Roman" w:hAnsi="Times New Roman"/>
                <w:kern w:val="0"/>
                <w:sz w:val="22"/>
              </w:rPr>
              <w:t>得满分，</w:t>
            </w:r>
            <w:r>
              <w:rPr>
                <w:rFonts w:hint="eastAsia" w:ascii="Times New Roman" w:hAnsi="Times New Roman"/>
                <w:kern w:val="0"/>
                <w:sz w:val="22"/>
              </w:rPr>
              <w:t>每减少1项扣1分，没有不得分</w:t>
            </w:r>
            <w:r>
              <w:rPr>
                <w:rFonts w:ascii="Times New Roman" w:hAnsi="Times New Roman"/>
                <w:kern w:val="0"/>
                <w:sz w:val="22"/>
              </w:rPr>
              <w:t>。</w:t>
            </w:r>
          </w:p>
        </w:tc>
        <w:tc>
          <w:tcPr>
            <w:tcW w:w="1560" w:type="dxa"/>
            <w:tcBorders>
              <w:top w:val="nil"/>
              <w:left w:val="nil"/>
              <w:bottom w:val="single" w:color="auto" w:sz="4" w:space="0"/>
              <w:right w:val="single" w:color="auto" w:sz="4" w:space="0"/>
            </w:tcBorders>
            <w:vAlign w:val="center"/>
          </w:tcPr>
          <w:p w14:paraId="3E5FB03A">
            <w:pPr>
              <w:widowControl/>
              <w:jc w:val="left"/>
              <w:rPr>
                <w:rFonts w:ascii="Times New Roman" w:hAnsi="Times New Roman"/>
                <w:kern w:val="0"/>
                <w:sz w:val="22"/>
              </w:rPr>
            </w:pPr>
            <w:r>
              <w:rPr>
                <w:rFonts w:ascii="Times New Roman" w:hAnsi="Times New Roman"/>
                <w:kern w:val="0"/>
                <w:sz w:val="22"/>
              </w:rPr>
              <w:t>1.申报材料     2.专利证书</w:t>
            </w:r>
          </w:p>
        </w:tc>
        <w:tc>
          <w:tcPr>
            <w:tcW w:w="1240" w:type="dxa"/>
            <w:tcBorders>
              <w:top w:val="nil"/>
              <w:left w:val="nil"/>
              <w:bottom w:val="single" w:color="auto" w:sz="4" w:space="0"/>
              <w:right w:val="single" w:color="auto" w:sz="4" w:space="0"/>
            </w:tcBorders>
            <w:noWrap/>
            <w:vAlign w:val="center"/>
          </w:tcPr>
          <w:p w14:paraId="7173DF90">
            <w:pPr>
              <w:widowControl/>
              <w:jc w:val="left"/>
              <w:rPr>
                <w:rFonts w:ascii="Times New Roman" w:hAnsi="Times New Roman"/>
                <w:kern w:val="0"/>
                <w:sz w:val="22"/>
              </w:rPr>
            </w:pPr>
          </w:p>
        </w:tc>
      </w:tr>
      <w:tr w14:paraId="0A68F500">
        <w:tblPrEx>
          <w:tblCellMar>
            <w:top w:w="0" w:type="dxa"/>
            <w:left w:w="108" w:type="dxa"/>
            <w:bottom w:w="0" w:type="dxa"/>
            <w:right w:w="108" w:type="dxa"/>
          </w:tblCellMar>
        </w:tblPrEx>
        <w:trPr>
          <w:trHeight w:val="1120" w:hRule="atLeast"/>
          <w:jc w:val="center"/>
        </w:trPr>
        <w:tc>
          <w:tcPr>
            <w:tcW w:w="1413" w:type="dxa"/>
            <w:vMerge w:val="continue"/>
            <w:tcBorders>
              <w:top w:val="nil"/>
              <w:left w:val="single" w:color="auto" w:sz="4" w:space="0"/>
              <w:bottom w:val="single" w:color="000000" w:sz="4" w:space="0"/>
              <w:right w:val="single" w:color="auto" w:sz="4" w:space="0"/>
            </w:tcBorders>
            <w:vAlign w:val="center"/>
          </w:tcPr>
          <w:p w14:paraId="7A594973">
            <w:pPr>
              <w:widowControl/>
              <w:jc w:val="left"/>
              <w:rPr>
                <w:rFonts w:ascii="Times New Roman" w:hAnsi="Times New Roman"/>
                <w:kern w:val="0"/>
                <w:sz w:val="22"/>
              </w:rPr>
            </w:pPr>
          </w:p>
        </w:tc>
        <w:tc>
          <w:tcPr>
            <w:tcW w:w="2551" w:type="dxa"/>
            <w:tcBorders>
              <w:top w:val="nil"/>
              <w:left w:val="nil"/>
              <w:bottom w:val="single" w:color="auto" w:sz="4" w:space="0"/>
              <w:right w:val="single" w:color="auto" w:sz="4" w:space="0"/>
            </w:tcBorders>
            <w:vAlign w:val="center"/>
          </w:tcPr>
          <w:p w14:paraId="70628359">
            <w:pPr>
              <w:widowControl/>
              <w:jc w:val="left"/>
              <w:rPr>
                <w:rFonts w:ascii="Times New Roman" w:hAnsi="Times New Roman"/>
                <w:kern w:val="0"/>
                <w:sz w:val="22"/>
              </w:rPr>
            </w:pPr>
            <w:r>
              <w:rPr>
                <w:rFonts w:ascii="Times New Roman" w:hAnsi="Times New Roman"/>
                <w:kern w:val="0"/>
                <w:sz w:val="22"/>
              </w:rPr>
              <w:t>（3）新产品（5分）</w:t>
            </w:r>
          </w:p>
        </w:tc>
        <w:tc>
          <w:tcPr>
            <w:tcW w:w="4253" w:type="dxa"/>
            <w:tcBorders>
              <w:top w:val="nil"/>
              <w:left w:val="nil"/>
              <w:bottom w:val="single" w:color="auto" w:sz="4" w:space="0"/>
              <w:right w:val="single" w:color="auto" w:sz="4" w:space="0"/>
            </w:tcBorders>
            <w:vAlign w:val="center"/>
          </w:tcPr>
          <w:p w14:paraId="1912E54F">
            <w:pPr>
              <w:widowControl/>
              <w:jc w:val="left"/>
              <w:rPr>
                <w:rFonts w:ascii="Times New Roman" w:hAnsi="Times New Roman"/>
                <w:kern w:val="0"/>
                <w:sz w:val="22"/>
              </w:rPr>
            </w:pPr>
            <w:r>
              <w:rPr>
                <w:rFonts w:ascii="Times New Roman" w:hAnsi="Times New Roman"/>
                <w:kern w:val="0"/>
                <w:sz w:val="22"/>
              </w:rPr>
              <w:t>近3年企业至少推出过2项及以上新产品（新工艺），新产品、新技术或采用新工艺、新方法带来的销售收入占当年主营业务收入的比例不低于50%。</w:t>
            </w:r>
          </w:p>
        </w:tc>
        <w:tc>
          <w:tcPr>
            <w:tcW w:w="4253" w:type="dxa"/>
            <w:tcBorders>
              <w:top w:val="nil"/>
              <w:left w:val="nil"/>
              <w:bottom w:val="single" w:color="auto" w:sz="4" w:space="0"/>
              <w:right w:val="single" w:color="auto" w:sz="4" w:space="0"/>
            </w:tcBorders>
            <w:noWrap/>
            <w:vAlign w:val="center"/>
          </w:tcPr>
          <w:p w14:paraId="15DE9C4B">
            <w:pPr>
              <w:widowControl/>
              <w:jc w:val="left"/>
              <w:rPr>
                <w:rFonts w:ascii="Times New Roman" w:hAnsi="Times New Roman"/>
                <w:kern w:val="0"/>
                <w:sz w:val="22"/>
              </w:rPr>
            </w:pPr>
            <w:r>
              <w:rPr>
                <w:rFonts w:ascii="Times New Roman" w:hAnsi="Times New Roman"/>
                <w:kern w:val="0"/>
                <w:sz w:val="22"/>
              </w:rPr>
              <w:t>符合条件得满分，低于标准酌情扣分。</w:t>
            </w:r>
          </w:p>
        </w:tc>
        <w:tc>
          <w:tcPr>
            <w:tcW w:w="1560" w:type="dxa"/>
            <w:tcBorders>
              <w:top w:val="nil"/>
              <w:left w:val="nil"/>
              <w:bottom w:val="single" w:color="auto" w:sz="4" w:space="0"/>
              <w:right w:val="single" w:color="auto" w:sz="4" w:space="0"/>
            </w:tcBorders>
            <w:vAlign w:val="center"/>
          </w:tcPr>
          <w:p w14:paraId="3636E90A">
            <w:pPr>
              <w:widowControl/>
              <w:jc w:val="left"/>
              <w:rPr>
                <w:rFonts w:ascii="Times New Roman" w:hAnsi="Times New Roman"/>
                <w:kern w:val="0"/>
                <w:sz w:val="22"/>
              </w:rPr>
            </w:pPr>
            <w:r>
              <w:rPr>
                <w:rFonts w:ascii="Times New Roman" w:hAnsi="Times New Roman"/>
                <w:kern w:val="0"/>
                <w:sz w:val="22"/>
              </w:rPr>
              <w:t>1.申报材料     2.审计报告</w:t>
            </w:r>
          </w:p>
        </w:tc>
        <w:tc>
          <w:tcPr>
            <w:tcW w:w="1240" w:type="dxa"/>
            <w:tcBorders>
              <w:top w:val="nil"/>
              <w:left w:val="nil"/>
              <w:bottom w:val="single" w:color="auto" w:sz="4" w:space="0"/>
              <w:right w:val="single" w:color="auto" w:sz="4" w:space="0"/>
            </w:tcBorders>
            <w:noWrap/>
            <w:vAlign w:val="center"/>
          </w:tcPr>
          <w:p w14:paraId="37F94516">
            <w:pPr>
              <w:widowControl/>
              <w:jc w:val="left"/>
              <w:rPr>
                <w:rFonts w:ascii="Times New Roman" w:hAnsi="Times New Roman"/>
                <w:kern w:val="0"/>
                <w:sz w:val="22"/>
              </w:rPr>
            </w:pPr>
          </w:p>
        </w:tc>
      </w:tr>
      <w:tr w14:paraId="6B279BDF">
        <w:tblPrEx>
          <w:tblCellMar>
            <w:top w:w="0" w:type="dxa"/>
            <w:left w:w="108" w:type="dxa"/>
            <w:bottom w:w="0" w:type="dxa"/>
            <w:right w:w="108" w:type="dxa"/>
          </w:tblCellMar>
        </w:tblPrEx>
        <w:trPr>
          <w:trHeight w:val="560" w:hRule="atLeast"/>
          <w:jc w:val="center"/>
        </w:trPr>
        <w:tc>
          <w:tcPr>
            <w:tcW w:w="1413" w:type="dxa"/>
            <w:vMerge w:val="continue"/>
            <w:tcBorders>
              <w:top w:val="nil"/>
              <w:left w:val="single" w:color="auto" w:sz="4" w:space="0"/>
              <w:bottom w:val="single" w:color="000000" w:sz="4" w:space="0"/>
              <w:right w:val="single" w:color="auto" w:sz="4" w:space="0"/>
            </w:tcBorders>
            <w:vAlign w:val="center"/>
          </w:tcPr>
          <w:p w14:paraId="0493E871">
            <w:pPr>
              <w:widowControl/>
              <w:jc w:val="left"/>
              <w:rPr>
                <w:rFonts w:ascii="Times New Roman" w:hAnsi="Times New Roman"/>
                <w:kern w:val="0"/>
                <w:sz w:val="22"/>
              </w:rPr>
            </w:pPr>
          </w:p>
        </w:tc>
        <w:tc>
          <w:tcPr>
            <w:tcW w:w="2551" w:type="dxa"/>
            <w:tcBorders>
              <w:top w:val="nil"/>
              <w:left w:val="nil"/>
              <w:bottom w:val="single" w:color="auto" w:sz="4" w:space="0"/>
              <w:right w:val="single" w:color="auto" w:sz="4" w:space="0"/>
            </w:tcBorders>
            <w:vAlign w:val="center"/>
          </w:tcPr>
          <w:p w14:paraId="27892D29">
            <w:pPr>
              <w:widowControl/>
              <w:jc w:val="left"/>
              <w:rPr>
                <w:rFonts w:ascii="Times New Roman" w:hAnsi="Times New Roman"/>
                <w:kern w:val="0"/>
                <w:sz w:val="22"/>
              </w:rPr>
            </w:pPr>
            <w:r>
              <w:rPr>
                <w:rFonts w:ascii="Times New Roman" w:hAnsi="Times New Roman"/>
                <w:kern w:val="0"/>
                <w:sz w:val="22"/>
              </w:rPr>
              <w:t>服务业：（1）创新规划（5分）</w:t>
            </w:r>
          </w:p>
        </w:tc>
        <w:tc>
          <w:tcPr>
            <w:tcW w:w="4253" w:type="dxa"/>
            <w:tcBorders>
              <w:top w:val="nil"/>
              <w:left w:val="nil"/>
              <w:bottom w:val="single" w:color="auto" w:sz="4" w:space="0"/>
              <w:right w:val="single" w:color="auto" w:sz="4" w:space="0"/>
            </w:tcBorders>
            <w:vAlign w:val="center"/>
          </w:tcPr>
          <w:p w14:paraId="78ABF7D2">
            <w:pPr>
              <w:widowControl/>
              <w:jc w:val="left"/>
              <w:rPr>
                <w:rFonts w:ascii="Times New Roman" w:hAnsi="Times New Roman"/>
                <w:kern w:val="0"/>
                <w:sz w:val="22"/>
              </w:rPr>
            </w:pPr>
            <w:r>
              <w:rPr>
                <w:rFonts w:ascii="Times New Roman" w:hAnsi="Times New Roman"/>
                <w:kern w:val="0"/>
                <w:sz w:val="22"/>
              </w:rPr>
              <w:t>具有明确的创新发展战略和规划。</w:t>
            </w:r>
          </w:p>
        </w:tc>
        <w:tc>
          <w:tcPr>
            <w:tcW w:w="4253" w:type="dxa"/>
            <w:tcBorders>
              <w:top w:val="nil"/>
              <w:left w:val="nil"/>
              <w:bottom w:val="single" w:color="auto" w:sz="4" w:space="0"/>
              <w:right w:val="single" w:color="auto" w:sz="4" w:space="0"/>
            </w:tcBorders>
            <w:noWrap/>
            <w:vAlign w:val="center"/>
          </w:tcPr>
          <w:p w14:paraId="34FF682A">
            <w:pPr>
              <w:widowControl/>
              <w:jc w:val="left"/>
              <w:rPr>
                <w:rFonts w:ascii="Times New Roman" w:hAnsi="Times New Roman"/>
                <w:kern w:val="0"/>
                <w:sz w:val="22"/>
              </w:rPr>
            </w:pPr>
            <w:r>
              <w:rPr>
                <w:rFonts w:ascii="Times New Roman" w:hAnsi="Times New Roman"/>
                <w:kern w:val="0"/>
                <w:sz w:val="22"/>
              </w:rPr>
              <w:t>符合条件得满分，其他酌情给分。</w:t>
            </w:r>
          </w:p>
        </w:tc>
        <w:tc>
          <w:tcPr>
            <w:tcW w:w="1560" w:type="dxa"/>
            <w:tcBorders>
              <w:top w:val="nil"/>
              <w:left w:val="nil"/>
              <w:bottom w:val="single" w:color="auto" w:sz="4" w:space="0"/>
              <w:right w:val="single" w:color="auto" w:sz="4" w:space="0"/>
            </w:tcBorders>
            <w:vAlign w:val="center"/>
          </w:tcPr>
          <w:p w14:paraId="2A2680EA">
            <w:pPr>
              <w:widowControl/>
              <w:jc w:val="left"/>
              <w:rPr>
                <w:rFonts w:ascii="Times New Roman" w:hAnsi="Times New Roman"/>
                <w:kern w:val="0"/>
                <w:sz w:val="22"/>
              </w:rPr>
            </w:pPr>
            <w:r>
              <w:rPr>
                <w:rFonts w:ascii="Times New Roman" w:hAnsi="Times New Roman"/>
                <w:kern w:val="0"/>
                <w:sz w:val="22"/>
              </w:rPr>
              <w:t>1.申报材料</w:t>
            </w:r>
            <w:r>
              <w:br w:type="textWrapping"/>
            </w:r>
            <w:r>
              <w:rPr>
                <w:rFonts w:ascii="Times New Roman" w:hAnsi="Times New Roman"/>
                <w:kern w:val="0"/>
                <w:sz w:val="22"/>
              </w:rPr>
              <w:t>2.证明材料</w:t>
            </w:r>
          </w:p>
        </w:tc>
        <w:tc>
          <w:tcPr>
            <w:tcW w:w="1240" w:type="dxa"/>
            <w:tcBorders>
              <w:top w:val="nil"/>
              <w:left w:val="nil"/>
              <w:bottom w:val="single" w:color="auto" w:sz="4" w:space="0"/>
              <w:right w:val="single" w:color="auto" w:sz="4" w:space="0"/>
            </w:tcBorders>
            <w:noWrap/>
            <w:vAlign w:val="center"/>
          </w:tcPr>
          <w:p w14:paraId="57F44D46">
            <w:pPr>
              <w:widowControl/>
              <w:jc w:val="left"/>
              <w:rPr>
                <w:rFonts w:ascii="Times New Roman" w:hAnsi="Times New Roman"/>
                <w:kern w:val="0"/>
                <w:sz w:val="22"/>
              </w:rPr>
            </w:pPr>
          </w:p>
        </w:tc>
      </w:tr>
      <w:tr w14:paraId="172C7691">
        <w:tblPrEx>
          <w:tblCellMar>
            <w:top w:w="0" w:type="dxa"/>
            <w:left w:w="108" w:type="dxa"/>
            <w:bottom w:w="0" w:type="dxa"/>
            <w:right w:w="108" w:type="dxa"/>
          </w:tblCellMar>
        </w:tblPrEx>
        <w:trPr>
          <w:trHeight w:val="560" w:hRule="atLeast"/>
          <w:jc w:val="center"/>
        </w:trPr>
        <w:tc>
          <w:tcPr>
            <w:tcW w:w="1413" w:type="dxa"/>
            <w:vMerge w:val="continue"/>
            <w:tcBorders>
              <w:top w:val="nil"/>
              <w:left w:val="single" w:color="auto" w:sz="4" w:space="0"/>
              <w:bottom w:val="single" w:color="000000" w:sz="4" w:space="0"/>
              <w:right w:val="single" w:color="auto" w:sz="4" w:space="0"/>
            </w:tcBorders>
            <w:vAlign w:val="center"/>
          </w:tcPr>
          <w:p w14:paraId="767D5F45">
            <w:pPr>
              <w:widowControl/>
              <w:jc w:val="left"/>
              <w:rPr>
                <w:rFonts w:ascii="Times New Roman" w:hAnsi="Times New Roman"/>
                <w:kern w:val="0"/>
                <w:sz w:val="22"/>
              </w:rPr>
            </w:pPr>
          </w:p>
        </w:tc>
        <w:tc>
          <w:tcPr>
            <w:tcW w:w="2551" w:type="dxa"/>
            <w:tcBorders>
              <w:top w:val="nil"/>
              <w:left w:val="nil"/>
              <w:bottom w:val="single" w:color="auto" w:sz="4" w:space="0"/>
              <w:right w:val="single" w:color="auto" w:sz="4" w:space="0"/>
            </w:tcBorders>
            <w:vAlign w:val="center"/>
          </w:tcPr>
          <w:p w14:paraId="0799D639">
            <w:pPr>
              <w:widowControl/>
              <w:jc w:val="left"/>
              <w:rPr>
                <w:rFonts w:ascii="Times New Roman" w:hAnsi="Times New Roman"/>
                <w:kern w:val="0"/>
                <w:sz w:val="22"/>
              </w:rPr>
            </w:pPr>
            <w:r>
              <w:rPr>
                <w:rFonts w:ascii="Times New Roman" w:hAnsi="Times New Roman"/>
                <w:kern w:val="0"/>
                <w:sz w:val="22"/>
              </w:rPr>
              <w:t>（2）创新模式（10分）</w:t>
            </w:r>
          </w:p>
        </w:tc>
        <w:tc>
          <w:tcPr>
            <w:tcW w:w="4253" w:type="dxa"/>
            <w:tcBorders>
              <w:top w:val="nil"/>
              <w:left w:val="nil"/>
              <w:bottom w:val="single" w:color="auto" w:sz="4" w:space="0"/>
              <w:right w:val="single" w:color="auto" w:sz="4" w:space="0"/>
            </w:tcBorders>
            <w:vAlign w:val="center"/>
          </w:tcPr>
          <w:p w14:paraId="7AB25F86">
            <w:pPr>
              <w:widowControl/>
              <w:jc w:val="left"/>
              <w:rPr>
                <w:rFonts w:ascii="Times New Roman" w:hAnsi="Times New Roman"/>
                <w:kern w:val="0"/>
                <w:sz w:val="22"/>
              </w:rPr>
            </w:pPr>
            <w:r>
              <w:rPr>
                <w:rFonts w:ascii="Times New Roman" w:hAnsi="Times New Roman"/>
                <w:kern w:val="0"/>
                <w:sz w:val="22"/>
              </w:rPr>
              <w:t>重视运用新的思维将产品和服务转变为营业收入。</w:t>
            </w:r>
          </w:p>
        </w:tc>
        <w:tc>
          <w:tcPr>
            <w:tcW w:w="4253" w:type="dxa"/>
            <w:tcBorders>
              <w:top w:val="nil"/>
              <w:left w:val="nil"/>
              <w:bottom w:val="single" w:color="auto" w:sz="4" w:space="0"/>
              <w:right w:val="single" w:color="auto" w:sz="4" w:space="0"/>
            </w:tcBorders>
            <w:noWrap/>
            <w:vAlign w:val="center"/>
          </w:tcPr>
          <w:p w14:paraId="5F21849C">
            <w:pPr>
              <w:widowControl/>
              <w:jc w:val="left"/>
              <w:rPr>
                <w:rFonts w:ascii="Times New Roman" w:hAnsi="Times New Roman"/>
                <w:kern w:val="0"/>
                <w:sz w:val="22"/>
              </w:rPr>
            </w:pPr>
            <w:r>
              <w:rPr>
                <w:rFonts w:ascii="Times New Roman" w:hAnsi="Times New Roman"/>
                <w:kern w:val="0"/>
                <w:sz w:val="22"/>
              </w:rPr>
              <w:t>符合条件得满分，其他酌情给分。</w:t>
            </w:r>
          </w:p>
        </w:tc>
        <w:tc>
          <w:tcPr>
            <w:tcW w:w="1560" w:type="dxa"/>
            <w:tcBorders>
              <w:top w:val="nil"/>
              <w:left w:val="nil"/>
              <w:bottom w:val="single" w:color="auto" w:sz="4" w:space="0"/>
              <w:right w:val="single" w:color="auto" w:sz="4" w:space="0"/>
            </w:tcBorders>
            <w:vAlign w:val="center"/>
          </w:tcPr>
          <w:p w14:paraId="5A394999">
            <w:pPr>
              <w:widowControl/>
              <w:jc w:val="left"/>
              <w:rPr>
                <w:rFonts w:ascii="Times New Roman" w:hAnsi="Times New Roman"/>
                <w:kern w:val="0"/>
                <w:sz w:val="22"/>
              </w:rPr>
            </w:pPr>
            <w:r>
              <w:rPr>
                <w:rFonts w:ascii="Times New Roman" w:hAnsi="Times New Roman"/>
                <w:kern w:val="0"/>
                <w:sz w:val="22"/>
              </w:rPr>
              <w:t>1.申报材料</w:t>
            </w:r>
            <w:r>
              <w:br w:type="textWrapping"/>
            </w:r>
            <w:r>
              <w:rPr>
                <w:rFonts w:ascii="Times New Roman" w:hAnsi="Times New Roman"/>
                <w:kern w:val="0"/>
                <w:sz w:val="22"/>
              </w:rPr>
              <w:t>2.证明材料</w:t>
            </w:r>
          </w:p>
        </w:tc>
        <w:tc>
          <w:tcPr>
            <w:tcW w:w="1240" w:type="dxa"/>
            <w:tcBorders>
              <w:top w:val="nil"/>
              <w:left w:val="nil"/>
              <w:bottom w:val="single" w:color="auto" w:sz="4" w:space="0"/>
              <w:right w:val="single" w:color="auto" w:sz="4" w:space="0"/>
            </w:tcBorders>
            <w:noWrap/>
            <w:vAlign w:val="center"/>
          </w:tcPr>
          <w:p w14:paraId="6179AB40">
            <w:pPr>
              <w:widowControl/>
              <w:jc w:val="left"/>
              <w:rPr>
                <w:rFonts w:ascii="Times New Roman" w:hAnsi="Times New Roman"/>
                <w:kern w:val="0"/>
                <w:sz w:val="22"/>
              </w:rPr>
            </w:pPr>
          </w:p>
        </w:tc>
      </w:tr>
      <w:tr w14:paraId="3C7742FE">
        <w:tblPrEx>
          <w:tblCellMar>
            <w:top w:w="0" w:type="dxa"/>
            <w:left w:w="108" w:type="dxa"/>
            <w:bottom w:w="0" w:type="dxa"/>
            <w:right w:w="108" w:type="dxa"/>
          </w:tblCellMar>
        </w:tblPrEx>
        <w:trPr>
          <w:trHeight w:val="560" w:hRule="atLeast"/>
          <w:jc w:val="center"/>
        </w:trPr>
        <w:tc>
          <w:tcPr>
            <w:tcW w:w="1413" w:type="dxa"/>
            <w:vMerge w:val="continue"/>
            <w:tcBorders>
              <w:top w:val="nil"/>
              <w:left w:val="single" w:color="auto" w:sz="4" w:space="0"/>
              <w:bottom w:val="single" w:color="000000" w:sz="4" w:space="0"/>
              <w:right w:val="single" w:color="auto" w:sz="4" w:space="0"/>
            </w:tcBorders>
            <w:vAlign w:val="center"/>
          </w:tcPr>
          <w:p w14:paraId="5EC536CA">
            <w:pPr>
              <w:widowControl/>
              <w:jc w:val="left"/>
              <w:rPr>
                <w:rFonts w:ascii="Times New Roman" w:hAnsi="Times New Roman"/>
                <w:kern w:val="0"/>
                <w:sz w:val="22"/>
              </w:rPr>
            </w:pPr>
          </w:p>
        </w:tc>
        <w:tc>
          <w:tcPr>
            <w:tcW w:w="2551" w:type="dxa"/>
            <w:tcBorders>
              <w:top w:val="nil"/>
              <w:left w:val="nil"/>
              <w:bottom w:val="single" w:color="auto" w:sz="4" w:space="0"/>
              <w:right w:val="single" w:color="auto" w:sz="4" w:space="0"/>
            </w:tcBorders>
            <w:vAlign w:val="center"/>
          </w:tcPr>
          <w:p w14:paraId="214BDAF2">
            <w:pPr>
              <w:widowControl/>
              <w:jc w:val="left"/>
              <w:rPr>
                <w:rFonts w:ascii="Times New Roman" w:hAnsi="Times New Roman"/>
                <w:kern w:val="0"/>
                <w:sz w:val="22"/>
              </w:rPr>
            </w:pPr>
            <w:r>
              <w:rPr>
                <w:rFonts w:ascii="Times New Roman" w:hAnsi="Times New Roman"/>
                <w:kern w:val="0"/>
                <w:sz w:val="22"/>
              </w:rPr>
              <w:t>（3）创新管理（5分）</w:t>
            </w:r>
          </w:p>
        </w:tc>
        <w:tc>
          <w:tcPr>
            <w:tcW w:w="4253" w:type="dxa"/>
            <w:tcBorders>
              <w:top w:val="nil"/>
              <w:left w:val="nil"/>
              <w:bottom w:val="single" w:color="auto" w:sz="4" w:space="0"/>
              <w:right w:val="single" w:color="auto" w:sz="4" w:space="0"/>
            </w:tcBorders>
            <w:vAlign w:val="center"/>
          </w:tcPr>
          <w:p w14:paraId="6CDE4474">
            <w:pPr>
              <w:widowControl/>
              <w:jc w:val="left"/>
              <w:rPr>
                <w:rFonts w:ascii="Times New Roman" w:hAnsi="Times New Roman"/>
                <w:kern w:val="0"/>
                <w:sz w:val="22"/>
              </w:rPr>
            </w:pPr>
            <w:r>
              <w:rPr>
                <w:rFonts w:ascii="Times New Roman" w:hAnsi="Times New Roman"/>
                <w:kern w:val="0"/>
                <w:sz w:val="22"/>
              </w:rPr>
              <w:t>完善的创新激励制度，具有良好的企业创新文化。</w:t>
            </w:r>
          </w:p>
        </w:tc>
        <w:tc>
          <w:tcPr>
            <w:tcW w:w="4253" w:type="dxa"/>
            <w:tcBorders>
              <w:top w:val="nil"/>
              <w:left w:val="nil"/>
              <w:bottom w:val="single" w:color="auto" w:sz="4" w:space="0"/>
              <w:right w:val="single" w:color="auto" w:sz="4" w:space="0"/>
            </w:tcBorders>
            <w:noWrap/>
            <w:vAlign w:val="center"/>
          </w:tcPr>
          <w:p w14:paraId="18ADA3AF">
            <w:pPr>
              <w:widowControl/>
              <w:jc w:val="left"/>
              <w:rPr>
                <w:rFonts w:ascii="Times New Roman" w:hAnsi="Times New Roman"/>
                <w:kern w:val="0"/>
                <w:sz w:val="22"/>
              </w:rPr>
            </w:pPr>
            <w:r>
              <w:rPr>
                <w:rFonts w:ascii="Times New Roman" w:hAnsi="Times New Roman"/>
                <w:kern w:val="0"/>
                <w:sz w:val="22"/>
              </w:rPr>
              <w:t>符合条件得满分，其他酌情给分。</w:t>
            </w:r>
          </w:p>
        </w:tc>
        <w:tc>
          <w:tcPr>
            <w:tcW w:w="1560" w:type="dxa"/>
            <w:tcBorders>
              <w:top w:val="nil"/>
              <w:left w:val="nil"/>
              <w:bottom w:val="single" w:color="auto" w:sz="4" w:space="0"/>
              <w:right w:val="single" w:color="auto" w:sz="4" w:space="0"/>
            </w:tcBorders>
            <w:vAlign w:val="center"/>
          </w:tcPr>
          <w:p w14:paraId="11895EDA">
            <w:pPr>
              <w:widowControl/>
              <w:jc w:val="left"/>
              <w:rPr>
                <w:rFonts w:ascii="Times New Roman" w:hAnsi="Times New Roman"/>
                <w:kern w:val="0"/>
                <w:sz w:val="22"/>
              </w:rPr>
            </w:pPr>
            <w:r>
              <w:rPr>
                <w:rFonts w:ascii="Times New Roman" w:hAnsi="Times New Roman"/>
                <w:kern w:val="0"/>
                <w:sz w:val="22"/>
              </w:rPr>
              <w:t>1.申报材料</w:t>
            </w:r>
            <w:r>
              <w:br w:type="textWrapping"/>
            </w:r>
            <w:r>
              <w:rPr>
                <w:rFonts w:ascii="Times New Roman" w:hAnsi="Times New Roman"/>
                <w:kern w:val="0"/>
                <w:sz w:val="22"/>
              </w:rPr>
              <w:t>2.证明材料</w:t>
            </w:r>
          </w:p>
        </w:tc>
        <w:tc>
          <w:tcPr>
            <w:tcW w:w="1240" w:type="dxa"/>
            <w:tcBorders>
              <w:top w:val="nil"/>
              <w:left w:val="nil"/>
              <w:bottom w:val="single" w:color="auto" w:sz="4" w:space="0"/>
              <w:right w:val="single" w:color="auto" w:sz="4" w:space="0"/>
            </w:tcBorders>
            <w:noWrap/>
            <w:vAlign w:val="center"/>
          </w:tcPr>
          <w:p w14:paraId="5FCC271D">
            <w:pPr>
              <w:widowControl/>
              <w:jc w:val="left"/>
              <w:rPr>
                <w:rFonts w:ascii="Times New Roman" w:hAnsi="Times New Roman"/>
                <w:kern w:val="0"/>
                <w:sz w:val="22"/>
              </w:rPr>
            </w:pPr>
          </w:p>
        </w:tc>
      </w:tr>
      <w:tr w14:paraId="7EE6D9B1">
        <w:tblPrEx>
          <w:tblCellMar>
            <w:top w:w="0" w:type="dxa"/>
            <w:left w:w="108" w:type="dxa"/>
            <w:bottom w:w="0" w:type="dxa"/>
            <w:right w:w="108" w:type="dxa"/>
          </w:tblCellMar>
        </w:tblPrEx>
        <w:trPr>
          <w:trHeight w:val="560" w:hRule="atLeast"/>
          <w:jc w:val="center"/>
        </w:trPr>
        <w:tc>
          <w:tcPr>
            <w:tcW w:w="1413" w:type="dxa"/>
            <w:vMerge w:val="restart"/>
            <w:tcBorders>
              <w:top w:val="nil"/>
              <w:left w:val="single" w:color="auto" w:sz="4" w:space="0"/>
              <w:bottom w:val="single" w:color="000000" w:sz="4" w:space="0"/>
              <w:right w:val="single" w:color="auto" w:sz="4" w:space="0"/>
            </w:tcBorders>
            <w:vAlign w:val="center"/>
          </w:tcPr>
          <w:p w14:paraId="21B8306D">
            <w:pPr>
              <w:widowControl/>
              <w:jc w:val="center"/>
              <w:rPr>
                <w:rFonts w:ascii="Times New Roman" w:hAnsi="Times New Roman"/>
                <w:kern w:val="0"/>
                <w:sz w:val="22"/>
              </w:rPr>
            </w:pPr>
            <w:r>
              <w:rPr>
                <w:rFonts w:ascii="Times New Roman" w:hAnsi="Times New Roman"/>
                <w:kern w:val="0"/>
                <w:sz w:val="22"/>
              </w:rPr>
              <w:t>成长能力     （25分）</w:t>
            </w:r>
          </w:p>
        </w:tc>
        <w:tc>
          <w:tcPr>
            <w:tcW w:w="2551" w:type="dxa"/>
            <w:tcBorders>
              <w:top w:val="nil"/>
              <w:left w:val="nil"/>
              <w:bottom w:val="single" w:color="auto" w:sz="4" w:space="0"/>
              <w:right w:val="single" w:color="auto" w:sz="4" w:space="0"/>
            </w:tcBorders>
            <w:vAlign w:val="center"/>
          </w:tcPr>
          <w:p w14:paraId="0075E2E3">
            <w:pPr>
              <w:widowControl/>
              <w:jc w:val="left"/>
              <w:rPr>
                <w:rFonts w:ascii="Times New Roman" w:hAnsi="Times New Roman"/>
                <w:kern w:val="0"/>
                <w:sz w:val="22"/>
              </w:rPr>
            </w:pPr>
            <w:r>
              <w:rPr>
                <w:rFonts w:ascii="Times New Roman" w:hAnsi="Times New Roman"/>
                <w:kern w:val="0"/>
                <w:sz w:val="22"/>
              </w:rPr>
              <w:t>主营业务收入增长率</w:t>
            </w:r>
          </w:p>
          <w:p w14:paraId="2D61A295">
            <w:pPr>
              <w:widowControl/>
              <w:jc w:val="left"/>
              <w:rPr>
                <w:rFonts w:ascii="Times New Roman" w:hAnsi="Times New Roman"/>
                <w:kern w:val="0"/>
                <w:sz w:val="22"/>
              </w:rPr>
            </w:pPr>
            <w:r>
              <w:rPr>
                <w:rFonts w:ascii="Times New Roman" w:hAnsi="Times New Roman"/>
                <w:kern w:val="0"/>
                <w:sz w:val="22"/>
              </w:rPr>
              <w:t>（9分）</w:t>
            </w:r>
          </w:p>
        </w:tc>
        <w:tc>
          <w:tcPr>
            <w:tcW w:w="4253" w:type="dxa"/>
            <w:tcBorders>
              <w:top w:val="nil"/>
              <w:left w:val="nil"/>
              <w:bottom w:val="single" w:color="auto" w:sz="4" w:space="0"/>
              <w:right w:val="single" w:color="auto" w:sz="4" w:space="0"/>
            </w:tcBorders>
            <w:vAlign w:val="center"/>
          </w:tcPr>
          <w:p w14:paraId="52AAC5EF">
            <w:pPr>
              <w:widowControl/>
              <w:jc w:val="left"/>
              <w:rPr>
                <w:rFonts w:ascii="Times New Roman" w:hAnsi="Times New Roman"/>
                <w:sz w:val="22"/>
              </w:rPr>
            </w:pPr>
            <w:r>
              <w:rPr>
                <w:rFonts w:ascii="Times New Roman" w:hAnsi="Times New Roman"/>
                <w:sz w:val="22"/>
              </w:rPr>
              <w:t>即本年度主营业务收入减去上年度主营业务收入</w:t>
            </w:r>
            <w:r>
              <w:rPr>
                <w:rFonts w:hint="eastAsia" w:ascii="Times New Roman" w:hAnsi="Times New Roman"/>
                <w:sz w:val="22"/>
              </w:rPr>
              <w:t>的差</w:t>
            </w:r>
            <w:r>
              <w:rPr>
                <w:rFonts w:ascii="Times New Roman" w:hAnsi="Times New Roman"/>
                <w:sz w:val="22"/>
              </w:rPr>
              <w:t>占上年度主营业务收入的比重。</w:t>
            </w:r>
          </w:p>
        </w:tc>
        <w:tc>
          <w:tcPr>
            <w:tcW w:w="4253" w:type="dxa"/>
            <w:tcBorders>
              <w:top w:val="nil"/>
              <w:left w:val="nil"/>
              <w:bottom w:val="single" w:color="auto" w:sz="4" w:space="0"/>
              <w:right w:val="single" w:color="auto" w:sz="4" w:space="0"/>
            </w:tcBorders>
            <w:noWrap/>
            <w:vAlign w:val="center"/>
          </w:tcPr>
          <w:p w14:paraId="625BDDFF">
            <w:pPr>
              <w:widowControl/>
              <w:jc w:val="left"/>
              <w:rPr>
                <w:rFonts w:ascii="Times New Roman" w:hAnsi="Times New Roman"/>
                <w:sz w:val="22"/>
              </w:rPr>
            </w:pPr>
            <w:r>
              <w:rPr>
                <w:rFonts w:ascii="Times New Roman" w:hAnsi="Times New Roman"/>
                <w:sz w:val="22"/>
              </w:rPr>
              <w:t>主营业务收入增长率达15%及以上的得满分，11%-15%扣1分，7%-11%扣2分，3%-7%扣</w:t>
            </w:r>
            <w:r>
              <w:rPr>
                <w:rFonts w:hint="eastAsia" w:ascii="Times New Roman" w:hAnsi="Times New Roman"/>
                <w:sz w:val="22"/>
              </w:rPr>
              <w:t>3</w:t>
            </w:r>
            <w:r>
              <w:rPr>
                <w:rFonts w:ascii="Times New Roman" w:hAnsi="Times New Roman"/>
                <w:sz w:val="22"/>
              </w:rPr>
              <w:t>分，0%-3%扣</w:t>
            </w:r>
            <w:r>
              <w:rPr>
                <w:rFonts w:hint="eastAsia" w:ascii="Times New Roman" w:hAnsi="Times New Roman"/>
                <w:sz w:val="22"/>
              </w:rPr>
              <w:t>4</w:t>
            </w:r>
            <w:r>
              <w:rPr>
                <w:rFonts w:ascii="Times New Roman" w:hAnsi="Times New Roman"/>
                <w:sz w:val="22"/>
              </w:rPr>
              <w:t>分</w:t>
            </w:r>
            <w:r>
              <w:rPr>
                <w:rFonts w:hint="eastAsia" w:ascii="Times New Roman" w:hAnsi="Times New Roman"/>
                <w:sz w:val="22"/>
              </w:rPr>
              <w:t>，零或</w:t>
            </w:r>
            <w:r>
              <w:rPr>
                <w:rFonts w:ascii="Times New Roman" w:hAnsi="Times New Roman"/>
                <w:sz w:val="22"/>
              </w:rPr>
              <w:t>负增长不得分。</w:t>
            </w:r>
          </w:p>
        </w:tc>
        <w:tc>
          <w:tcPr>
            <w:tcW w:w="1560" w:type="dxa"/>
            <w:tcBorders>
              <w:top w:val="nil"/>
              <w:left w:val="nil"/>
              <w:bottom w:val="single" w:color="auto" w:sz="4" w:space="0"/>
              <w:right w:val="single" w:color="auto" w:sz="4" w:space="0"/>
            </w:tcBorders>
            <w:vAlign w:val="center"/>
          </w:tcPr>
          <w:p w14:paraId="77D92181">
            <w:pPr>
              <w:widowControl/>
              <w:jc w:val="left"/>
              <w:rPr>
                <w:rFonts w:ascii="Times New Roman" w:hAnsi="Times New Roman"/>
                <w:kern w:val="0"/>
                <w:sz w:val="22"/>
              </w:rPr>
            </w:pPr>
            <w:r>
              <w:rPr>
                <w:rFonts w:ascii="Times New Roman" w:hAnsi="Times New Roman"/>
                <w:kern w:val="0"/>
                <w:sz w:val="22"/>
              </w:rPr>
              <w:t>1.申报材料     2.审计报告</w:t>
            </w:r>
          </w:p>
        </w:tc>
        <w:tc>
          <w:tcPr>
            <w:tcW w:w="1240" w:type="dxa"/>
            <w:tcBorders>
              <w:top w:val="nil"/>
              <w:left w:val="nil"/>
              <w:bottom w:val="single" w:color="auto" w:sz="4" w:space="0"/>
              <w:right w:val="single" w:color="auto" w:sz="4" w:space="0"/>
            </w:tcBorders>
            <w:noWrap/>
            <w:vAlign w:val="center"/>
          </w:tcPr>
          <w:p w14:paraId="15517FB8">
            <w:pPr>
              <w:widowControl/>
              <w:jc w:val="left"/>
              <w:rPr>
                <w:rFonts w:ascii="Times New Roman" w:hAnsi="Times New Roman"/>
                <w:kern w:val="0"/>
                <w:sz w:val="22"/>
              </w:rPr>
            </w:pPr>
          </w:p>
        </w:tc>
      </w:tr>
      <w:tr w14:paraId="3504AA24">
        <w:tblPrEx>
          <w:tblCellMar>
            <w:top w:w="0" w:type="dxa"/>
            <w:left w:w="108" w:type="dxa"/>
            <w:bottom w:w="0" w:type="dxa"/>
            <w:right w:w="108" w:type="dxa"/>
          </w:tblCellMar>
        </w:tblPrEx>
        <w:trPr>
          <w:trHeight w:val="560" w:hRule="atLeast"/>
          <w:jc w:val="center"/>
        </w:trPr>
        <w:tc>
          <w:tcPr>
            <w:tcW w:w="1413" w:type="dxa"/>
            <w:vMerge w:val="continue"/>
            <w:tcBorders>
              <w:top w:val="nil"/>
              <w:left w:val="single" w:color="auto" w:sz="4" w:space="0"/>
              <w:bottom w:val="single" w:color="000000" w:sz="4" w:space="0"/>
              <w:right w:val="single" w:color="auto" w:sz="4" w:space="0"/>
            </w:tcBorders>
            <w:vAlign w:val="center"/>
          </w:tcPr>
          <w:p w14:paraId="0F6BFED8">
            <w:pPr>
              <w:widowControl/>
              <w:jc w:val="left"/>
              <w:rPr>
                <w:rFonts w:ascii="Times New Roman" w:hAnsi="Times New Roman"/>
                <w:kern w:val="0"/>
                <w:sz w:val="22"/>
              </w:rPr>
            </w:pPr>
          </w:p>
        </w:tc>
        <w:tc>
          <w:tcPr>
            <w:tcW w:w="2551" w:type="dxa"/>
            <w:tcBorders>
              <w:top w:val="nil"/>
              <w:left w:val="nil"/>
              <w:bottom w:val="single" w:color="auto" w:sz="4" w:space="0"/>
              <w:right w:val="single" w:color="auto" w:sz="4" w:space="0"/>
            </w:tcBorders>
            <w:vAlign w:val="center"/>
          </w:tcPr>
          <w:p w14:paraId="58ADE992">
            <w:pPr>
              <w:widowControl/>
              <w:jc w:val="left"/>
              <w:rPr>
                <w:rFonts w:ascii="Times New Roman" w:hAnsi="Times New Roman"/>
                <w:kern w:val="0"/>
                <w:sz w:val="22"/>
              </w:rPr>
            </w:pPr>
            <w:r>
              <w:rPr>
                <w:rFonts w:ascii="Times New Roman" w:hAnsi="Times New Roman"/>
                <w:kern w:val="0"/>
                <w:sz w:val="22"/>
              </w:rPr>
              <w:t>净利润率（9分）</w:t>
            </w:r>
          </w:p>
        </w:tc>
        <w:tc>
          <w:tcPr>
            <w:tcW w:w="4253" w:type="dxa"/>
            <w:tcBorders>
              <w:top w:val="nil"/>
              <w:left w:val="nil"/>
              <w:bottom w:val="single" w:color="auto" w:sz="4" w:space="0"/>
              <w:right w:val="single" w:color="auto" w:sz="4" w:space="0"/>
            </w:tcBorders>
            <w:vAlign w:val="center"/>
          </w:tcPr>
          <w:p w14:paraId="3CDCC5BD">
            <w:pPr>
              <w:widowControl/>
              <w:jc w:val="left"/>
              <w:rPr>
                <w:rFonts w:ascii="Times New Roman" w:hAnsi="Times New Roman"/>
                <w:sz w:val="22"/>
              </w:rPr>
            </w:pPr>
            <w:r>
              <w:rPr>
                <w:rFonts w:ascii="Times New Roman" w:hAnsi="Times New Roman"/>
                <w:sz w:val="22"/>
              </w:rPr>
              <w:t>净利润占营业收入的比重</w:t>
            </w:r>
          </w:p>
        </w:tc>
        <w:tc>
          <w:tcPr>
            <w:tcW w:w="4253" w:type="dxa"/>
            <w:tcBorders>
              <w:top w:val="nil"/>
              <w:left w:val="nil"/>
              <w:bottom w:val="single" w:color="auto" w:sz="4" w:space="0"/>
              <w:right w:val="single" w:color="auto" w:sz="4" w:space="0"/>
            </w:tcBorders>
            <w:noWrap/>
            <w:vAlign w:val="center"/>
          </w:tcPr>
          <w:p w14:paraId="575FBE49">
            <w:pPr>
              <w:widowControl/>
              <w:jc w:val="left"/>
              <w:rPr>
                <w:rFonts w:ascii="Times New Roman" w:hAnsi="Times New Roman"/>
                <w:sz w:val="22"/>
              </w:rPr>
            </w:pPr>
            <w:r>
              <w:rPr>
                <w:rFonts w:ascii="Times New Roman" w:hAnsi="Times New Roman"/>
                <w:sz w:val="22"/>
              </w:rPr>
              <w:t>净利润率达10%及以上的得满分，7%-10%扣1分，4%-7%扣2分，1%-4%扣3分，0-1%扣4分，</w:t>
            </w:r>
            <w:r>
              <w:rPr>
                <w:rFonts w:hint="eastAsia" w:ascii="Times New Roman" w:hAnsi="Times New Roman"/>
                <w:sz w:val="22"/>
              </w:rPr>
              <w:t>小于等于零</w:t>
            </w:r>
            <w:r>
              <w:rPr>
                <w:rFonts w:ascii="Times New Roman" w:hAnsi="Times New Roman"/>
                <w:sz w:val="22"/>
              </w:rPr>
              <w:t>不得分。</w:t>
            </w:r>
          </w:p>
        </w:tc>
        <w:tc>
          <w:tcPr>
            <w:tcW w:w="1560" w:type="dxa"/>
            <w:tcBorders>
              <w:top w:val="nil"/>
              <w:left w:val="nil"/>
              <w:bottom w:val="single" w:color="auto" w:sz="4" w:space="0"/>
              <w:right w:val="single" w:color="auto" w:sz="4" w:space="0"/>
            </w:tcBorders>
            <w:vAlign w:val="center"/>
          </w:tcPr>
          <w:p w14:paraId="033A1B0A">
            <w:pPr>
              <w:widowControl/>
              <w:jc w:val="left"/>
              <w:rPr>
                <w:rFonts w:ascii="Times New Roman" w:hAnsi="Times New Roman"/>
                <w:kern w:val="0"/>
                <w:sz w:val="22"/>
              </w:rPr>
            </w:pPr>
            <w:r>
              <w:rPr>
                <w:rFonts w:ascii="Times New Roman" w:hAnsi="Times New Roman"/>
                <w:kern w:val="0"/>
                <w:sz w:val="22"/>
              </w:rPr>
              <w:t>1.申报材料     2.审计报告</w:t>
            </w:r>
          </w:p>
        </w:tc>
        <w:tc>
          <w:tcPr>
            <w:tcW w:w="1240" w:type="dxa"/>
            <w:tcBorders>
              <w:top w:val="nil"/>
              <w:left w:val="nil"/>
              <w:bottom w:val="single" w:color="auto" w:sz="4" w:space="0"/>
              <w:right w:val="single" w:color="auto" w:sz="4" w:space="0"/>
            </w:tcBorders>
            <w:noWrap/>
            <w:vAlign w:val="center"/>
          </w:tcPr>
          <w:p w14:paraId="44F2C3BA">
            <w:pPr>
              <w:widowControl/>
              <w:jc w:val="left"/>
              <w:rPr>
                <w:rFonts w:ascii="Times New Roman" w:hAnsi="Times New Roman"/>
                <w:kern w:val="0"/>
                <w:sz w:val="22"/>
              </w:rPr>
            </w:pPr>
          </w:p>
        </w:tc>
      </w:tr>
      <w:tr w14:paraId="5B33818C">
        <w:tblPrEx>
          <w:tblCellMar>
            <w:top w:w="0" w:type="dxa"/>
            <w:left w:w="108" w:type="dxa"/>
            <w:bottom w:w="0" w:type="dxa"/>
            <w:right w:w="108" w:type="dxa"/>
          </w:tblCellMar>
        </w:tblPrEx>
        <w:trPr>
          <w:trHeight w:val="560" w:hRule="atLeast"/>
          <w:jc w:val="center"/>
        </w:trPr>
        <w:tc>
          <w:tcPr>
            <w:tcW w:w="1413" w:type="dxa"/>
            <w:vMerge w:val="continue"/>
            <w:tcBorders>
              <w:left w:val="single" w:color="auto" w:sz="4" w:space="0"/>
              <w:bottom w:val="single" w:color="000000" w:sz="4" w:space="0"/>
              <w:right w:val="single" w:color="auto" w:sz="4" w:space="0"/>
            </w:tcBorders>
            <w:vAlign w:val="center"/>
          </w:tcPr>
          <w:p w14:paraId="571EEF51">
            <w:pPr>
              <w:widowControl/>
              <w:jc w:val="left"/>
              <w:rPr>
                <w:rFonts w:ascii="Times New Roman" w:hAnsi="Times New Roman"/>
                <w:kern w:val="0"/>
                <w:sz w:val="22"/>
              </w:rPr>
            </w:pPr>
          </w:p>
        </w:tc>
        <w:tc>
          <w:tcPr>
            <w:tcW w:w="2551" w:type="dxa"/>
            <w:tcBorders>
              <w:top w:val="nil"/>
              <w:left w:val="nil"/>
              <w:bottom w:val="single" w:color="auto" w:sz="4" w:space="0"/>
              <w:right w:val="single" w:color="auto" w:sz="4" w:space="0"/>
            </w:tcBorders>
            <w:vAlign w:val="center"/>
          </w:tcPr>
          <w:p w14:paraId="2964E9CD">
            <w:pPr>
              <w:widowControl/>
              <w:jc w:val="left"/>
              <w:rPr>
                <w:rFonts w:ascii="Times New Roman" w:hAnsi="Times New Roman"/>
                <w:kern w:val="0"/>
                <w:sz w:val="22"/>
              </w:rPr>
            </w:pPr>
            <w:r>
              <w:rPr>
                <w:rFonts w:ascii="Times New Roman" w:hAnsi="Times New Roman"/>
                <w:kern w:val="0"/>
                <w:sz w:val="22"/>
              </w:rPr>
              <w:t>资产负债率（7分）</w:t>
            </w:r>
          </w:p>
        </w:tc>
        <w:tc>
          <w:tcPr>
            <w:tcW w:w="4253" w:type="dxa"/>
            <w:tcBorders>
              <w:top w:val="nil"/>
              <w:left w:val="nil"/>
              <w:bottom w:val="single" w:color="auto" w:sz="4" w:space="0"/>
              <w:right w:val="single" w:color="auto" w:sz="4" w:space="0"/>
            </w:tcBorders>
            <w:vAlign w:val="center"/>
          </w:tcPr>
          <w:p w14:paraId="0A0B10C2">
            <w:pPr>
              <w:widowControl/>
              <w:jc w:val="left"/>
              <w:rPr>
                <w:rFonts w:ascii="Times New Roman" w:hAnsi="Times New Roman"/>
                <w:szCs w:val="21"/>
              </w:rPr>
            </w:pPr>
            <w:r>
              <w:rPr>
                <w:rFonts w:ascii="Times New Roman" w:hAnsi="Times New Roman"/>
                <w:szCs w:val="21"/>
              </w:rPr>
              <w:t>总负债占总资产的比重</w:t>
            </w:r>
          </w:p>
        </w:tc>
        <w:tc>
          <w:tcPr>
            <w:tcW w:w="4253" w:type="dxa"/>
            <w:tcBorders>
              <w:top w:val="nil"/>
              <w:left w:val="nil"/>
              <w:bottom w:val="single" w:color="auto" w:sz="4" w:space="0"/>
              <w:right w:val="single" w:color="auto" w:sz="4" w:space="0"/>
            </w:tcBorders>
            <w:noWrap/>
            <w:vAlign w:val="center"/>
          </w:tcPr>
          <w:p w14:paraId="4EDB40F5">
            <w:pPr>
              <w:widowControl/>
              <w:jc w:val="left"/>
              <w:rPr>
                <w:rFonts w:ascii="Times New Roman" w:hAnsi="Times New Roman"/>
                <w:szCs w:val="21"/>
              </w:rPr>
            </w:pPr>
            <w:r>
              <w:rPr>
                <w:rFonts w:ascii="Times New Roman" w:hAnsi="Times New Roman"/>
                <w:szCs w:val="21"/>
              </w:rPr>
              <w:t>资产负债率50%及以下的得满分，50%-60%扣1分，60%-70%扣</w:t>
            </w:r>
            <w:r>
              <w:rPr>
                <w:rFonts w:hint="eastAsia" w:ascii="Times New Roman" w:hAnsi="Times New Roman"/>
                <w:szCs w:val="21"/>
              </w:rPr>
              <w:t>1.5</w:t>
            </w:r>
            <w:r>
              <w:rPr>
                <w:rFonts w:ascii="Times New Roman" w:hAnsi="Times New Roman"/>
                <w:szCs w:val="21"/>
              </w:rPr>
              <w:t>分，70%-80%扣2分，80%-90%扣3分，90%以上的不得分。</w:t>
            </w:r>
          </w:p>
        </w:tc>
        <w:tc>
          <w:tcPr>
            <w:tcW w:w="1560" w:type="dxa"/>
            <w:tcBorders>
              <w:top w:val="nil"/>
              <w:left w:val="nil"/>
              <w:bottom w:val="single" w:color="auto" w:sz="4" w:space="0"/>
              <w:right w:val="single" w:color="auto" w:sz="4" w:space="0"/>
            </w:tcBorders>
            <w:vAlign w:val="center"/>
          </w:tcPr>
          <w:p w14:paraId="7DADFF43">
            <w:pPr>
              <w:widowControl/>
              <w:jc w:val="left"/>
              <w:rPr>
                <w:rFonts w:ascii="Times New Roman" w:hAnsi="Times New Roman"/>
                <w:kern w:val="0"/>
                <w:sz w:val="22"/>
              </w:rPr>
            </w:pPr>
            <w:r>
              <w:rPr>
                <w:rFonts w:ascii="Times New Roman" w:hAnsi="Times New Roman"/>
                <w:kern w:val="0"/>
                <w:sz w:val="22"/>
              </w:rPr>
              <w:t>1.申报材料     2.审计报告</w:t>
            </w:r>
          </w:p>
        </w:tc>
        <w:tc>
          <w:tcPr>
            <w:tcW w:w="1240" w:type="dxa"/>
            <w:tcBorders>
              <w:top w:val="nil"/>
              <w:left w:val="nil"/>
              <w:bottom w:val="single" w:color="auto" w:sz="4" w:space="0"/>
              <w:right w:val="single" w:color="auto" w:sz="4" w:space="0"/>
            </w:tcBorders>
            <w:noWrap/>
            <w:vAlign w:val="center"/>
          </w:tcPr>
          <w:p w14:paraId="233BDB77">
            <w:pPr>
              <w:widowControl/>
              <w:jc w:val="left"/>
              <w:rPr>
                <w:rFonts w:ascii="Times New Roman" w:hAnsi="Times New Roman"/>
                <w:kern w:val="0"/>
                <w:sz w:val="22"/>
              </w:rPr>
            </w:pPr>
          </w:p>
        </w:tc>
      </w:tr>
      <w:tr w14:paraId="46D24562">
        <w:tblPrEx>
          <w:tblCellMar>
            <w:top w:w="0" w:type="dxa"/>
            <w:left w:w="108" w:type="dxa"/>
            <w:bottom w:w="0" w:type="dxa"/>
            <w:right w:w="108" w:type="dxa"/>
          </w:tblCellMar>
        </w:tblPrEx>
        <w:trPr>
          <w:trHeight w:val="560" w:hRule="atLeast"/>
          <w:jc w:val="center"/>
        </w:trPr>
        <w:tc>
          <w:tcPr>
            <w:tcW w:w="1413" w:type="dxa"/>
            <w:vMerge w:val="restart"/>
            <w:tcBorders>
              <w:top w:val="nil"/>
              <w:left w:val="single" w:color="auto" w:sz="4" w:space="0"/>
              <w:bottom w:val="single" w:color="000000" w:sz="4" w:space="0"/>
              <w:right w:val="single" w:color="auto" w:sz="4" w:space="0"/>
            </w:tcBorders>
            <w:vAlign w:val="center"/>
          </w:tcPr>
          <w:p w14:paraId="7DC3460A">
            <w:pPr>
              <w:widowControl/>
              <w:jc w:val="center"/>
              <w:rPr>
                <w:rFonts w:ascii="Times New Roman" w:hAnsi="Times New Roman"/>
                <w:kern w:val="0"/>
                <w:sz w:val="22"/>
              </w:rPr>
            </w:pPr>
            <w:r>
              <w:rPr>
                <w:rFonts w:ascii="Times New Roman" w:hAnsi="Times New Roman"/>
                <w:kern w:val="0"/>
                <w:sz w:val="22"/>
              </w:rPr>
              <w:t>社会责任承担</w:t>
            </w:r>
            <w:r>
              <w:rPr>
                <w:rFonts w:hint="eastAsia" w:ascii="Times New Roman" w:hAnsi="Times New Roman"/>
                <w:kern w:val="0"/>
                <w:sz w:val="22"/>
              </w:rPr>
              <w:t>情况</w:t>
            </w:r>
            <w:r>
              <w:rPr>
                <w:rFonts w:ascii="Times New Roman" w:hAnsi="Times New Roman"/>
                <w:kern w:val="0"/>
                <w:sz w:val="22"/>
              </w:rPr>
              <w:t xml:space="preserve">    （20分）</w:t>
            </w:r>
          </w:p>
        </w:tc>
        <w:tc>
          <w:tcPr>
            <w:tcW w:w="2551" w:type="dxa"/>
            <w:tcBorders>
              <w:top w:val="nil"/>
              <w:left w:val="nil"/>
              <w:bottom w:val="single" w:color="auto" w:sz="4" w:space="0"/>
              <w:right w:val="single" w:color="auto" w:sz="4" w:space="0"/>
            </w:tcBorders>
          </w:tcPr>
          <w:p w14:paraId="44E14159">
            <w:pPr>
              <w:widowControl/>
              <w:jc w:val="left"/>
              <w:rPr>
                <w:rFonts w:ascii="Times New Roman" w:hAnsi="Times New Roman"/>
              </w:rPr>
            </w:pPr>
            <w:r>
              <w:rPr>
                <w:rFonts w:ascii="Times New Roman" w:hAnsi="Times New Roman"/>
              </w:rPr>
              <w:t>纳税额增长率</w:t>
            </w:r>
            <w:r>
              <w:rPr>
                <w:rFonts w:hint="eastAsia" w:ascii="Times New Roman" w:hAnsi="Times New Roman"/>
              </w:rPr>
              <w:t>（</w:t>
            </w:r>
            <w:r>
              <w:rPr>
                <w:rFonts w:ascii="Times New Roman" w:hAnsi="Times New Roman"/>
              </w:rPr>
              <w:t>7分）</w:t>
            </w:r>
          </w:p>
        </w:tc>
        <w:tc>
          <w:tcPr>
            <w:tcW w:w="4253" w:type="dxa"/>
            <w:tcBorders>
              <w:top w:val="nil"/>
              <w:left w:val="nil"/>
              <w:bottom w:val="single" w:color="auto" w:sz="4" w:space="0"/>
              <w:right w:val="single" w:color="auto" w:sz="4" w:space="0"/>
            </w:tcBorders>
          </w:tcPr>
          <w:p w14:paraId="155B6E66">
            <w:pPr>
              <w:widowControl/>
              <w:jc w:val="left"/>
              <w:rPr>
                <w:rFonts w:ascii="Times New Roman" w:hAnsi="Times New Roman"/>
                <w:sz w:val="22"/>
              </w:rPr>
            </w:pPr>
            <w:r>
              <w:rPr>
                <w:rFonts w:ascii="Times New Roman" w:hAnsi="Times New Roman"/>
                <w:sz w:val="22"/>
              </w:rPr>
              <w:t>即本年度纳税额减去上年度纳税额</w:t>
            </w:r>
            <w:r>
              <w:rPr>
                <w:rFonts w:hint="eastAsia" w:ascii="Times New Roman" w:hAnsi="Times New Roman"/>
                <w:sz w:val="22"/>
              </w:rPr>
              <w:t>的差</w:t>
            </w:r>
            <w:r>
              <w:rPr>
                <w:rFonts w:ascii="Times New Roman" w:hAnsi="Times New Roman"/>
                <w:sz w:val="22"/>
              </w:rPr>
              <w:t>占上年度纳税额的</w:t>
            </w:r>
            <w:r>
              <w:rPr>
                <w:rFonts w:hint="eastAsia" w:ascii="Times New Roman" w:hAnsi="Times New Roman"/>
              </w:rPr>
              <w:t>比例</w:t>
            </w:r>
            <w:r>
              <w:rPr>
                <w:rFonts w:ascii="Times New Roman" w:hAnsi="Times New Roman"/>
                <w:sz w:val="22"/>
              </w:rPr>
              <w:t>。</w:t>
            </w:r>
          </w:p>
        </w:tc>
        <w:tc>
          <w:tcPr>
            <w:tcW w:w="4253" w:type="dxa"/>
            <w:tcBorders>
              <w:top w:val="nil"/>
              <w:left w:val="nil"/>
              <w:bottom w:val="single" w:color="auto" w:sz="4" w:space="0"/>
              <w:right w:val="single" w:color="auto" w:sz="4" w:space="0"/>
            </w:tcBorders>
            <w:noWrap/>
          </w:tcPr>
          <w:p w14:paraId="09E9B087">
            <w:pPr>
              <w:widowControl/>
              <w:jc w:val="left"/>
              <w:rPr>
                <w:rFonts w:ascii="Times New Roman" w:hAnsi="Times New Roman"/>
                <w:sz w:val="22"/>
              </w:rPr>
            </w:pPr>
            <w:r>
              <w:rPr>
                <w:rFonts w:ascii="Times New Roman" w:hAnsi="Times New Roman"/>
                <w:sz w:val="22"/>
              </w:rPr>
              <w:t>纳税额增长率达10%及以上的得满分，7%-10%扣1分，4%-7%扣1.5分，1%-4%扣2分，0-1%扣3分，</w:t>
            </w:r>
            <w:r>
              <w:rPr>
                <w:rFonts w:hint="eastAsia" w:ascii="Times New Roman" w:hAnsi="Times New Roman"/>
                <w:sz w:val="22"/>
              </w:rPr>
              <w:t>零或</w:t>
            </w:r>
            <w:r>
              <w:rPr>
                <w:rFonts w:ascii="Times New Roman" w:hAnsi="Times New Roman"/>
                <w:sz w:val="22"/>
              </w:rPr>
              <w:t>负增长不得分。</w:t>
            </w:r>
          </w:p>
        </w:tc>
        <w:tc>
          <w:tcPr>
            <w:tcW w:w="1560" w:type="dxa"/>
            <w:tcBorders>
              <w:top w:val="nil"/>
              <w:left w:val="nil"/>
              <w:bottom w:val="single" w:color="auto" w:sz="4" w:space="0"/>
              <w:right w:val="single" w:color="auto" w:sz="4" w:space="0"/>
            </w:tcBorders>
          </w:tcPr>
          <w:p w14:paraId="0D8C3961">
            <w:pPr>
              <w:widowControl/>
              <w:jc w:val="left"/>
              <w:rPr>
                <w:rFonts w:ascii="Times New Roman" w:hAnsi="Times New Roman"/>
                <w:kern w:val="0"/>
                <w:sz w:val="22"/>
              </w:rPr>
            </w:pPr>
            <w:r>
              <w:rPr>
                <w:rFonts w:ascii="Times New Roman" w:hAnsi="Times New Roman"/>
                <w:kern w:val="0"/>
                <w:sz w:val="22"/>
              </w:rPr>
              <w:t>1.申报材料     2.审计报告</w:t>
            </w:r>
          </w:p>
        </w:tc>
        <w:tc>
          <w:tcPr>
            <w:tcW w:w="1240" w:type="dxa"/>
            <w:tcBorders>
              <w:top w:val="nil"/>
              <w:left w:val="nil"/>
              <w:bottom w:val="single" w:color="auto" w:sz="4" w:space="0"/>
              <w:right w:val="single" w:color="auto" w:sz="4" w:space="0"/>
            </w:tcBorders>
            <w:noWrap/>
          </w:tcPr>
          <w:p w14:paraId="55E6DC3F">
            <w:pPr>
              <w:widowControl/>
              <w:jc w:val="left"/>
              <w:rPr>
                <w:rFonts w:ascii="Times New Roman" w:hAnsi="Times New Roman"/>
                <w:kern w:val="0"/>
                <w:sz w:val="22"/>
              </w:rPr>
            </w:pPr>
          </w:p>
        </w:tc>
      </w:tr>
      <w:tr w14:paraId="0685A40F">
        <w:tblPrEx>
          <w:tblCellMar>
            <w:top w:w="0" w:type="dxa"/>
            <w:left w:w="108" w:type="dxa"/>
            <w:bottom w:w="0" w:type="dxa"/>
            <w:right w:w="108" w:type="dxa"/>
          </w:tblCellMar>
        </w:tblPrEx>
        <w:trPr>
          <w:trHeight w:val="560" w:hRule="atLeast"/>
          <w:jc w:val="center"/>
        </w:trPr>
        <w:tc>
          <w:tcPr>
            <w:tcW w:w="1413" w:type="dxa"/>
            <w:vMerge w:val="continue"/>
            <w:tcBorders>
              <w:top w:val="nil"/>
              <w:left w:val="single" w:color="auto" w:sz="4" w:space="0"/>
              <w:bottom w:val="single" w:color="000000" w:sz="4" w:space="0"/>
              <w:right w:val="single" w:color="auto" w:sz="4" w:space="0"/>
            </w:tcBorders>
            <w:vAlign w:val="center"/>
          </w:tcPr>
          <w:p w14:paraId="1E67F4ED">
            <w:pPr>
              <w:widowControl/>
              <w:jc w:val="center"/>
              <w:rPr>
                <w:rFonts w:ascii="Times New Roman" w:hAnsi="Times New Roman"/>
                <w:kern w:val="0"/>
                <w:sz w:val="22"/>
              </w:rPr>
            </w:pPr>
          </w:p>
        </w:tc>
        <w:tc>
          <w:tcPr>
            <w:tcW w:w="2551" w:type="dxa"/>
            <w:tcBorders>
              <w:top w:val="nil"/>
              <w:left w:val="nil"/>
              <w:bottom w:val="single" w:color="auto" w:sz="4" w:space="0"/>
              <w:right w:val="single" w:color="auto" w:sz="4" w:space="0"/>
            </w:tcBorders>
          </w:tcPr>
          <w:p w14:paraId="43D8CE9C">
            <w:pPr>
              <w:widowControl/>
              <w:jc w:val="left"/>
              <w:rPr>
                <w:rFonts w:ascii="Times New Roman" w:hAnsi="Times New Roman"/>
              </w:rPr>
            </w:pPr>
            <w:r>
              <w:rPr>
                <w:rFonts w:ascii="Times New Roman" w:hAnsi="Times New Roman"/>
              </w:rPr>
              <w:t>就业贡献（7分）</w:t>
            </w:r>
          </w:p>
        </w:tc>
        <w:tc>
          <w:tcPr>
            <w:tcW w:w="4253" w:type="dxa"/>
            <w:tcBorders>
              <w:top w:val="nil"/>
              <w:left w:val="nil"/>
              <w:bottom w:val="single" w:color="auto" w:sz="4" w:space="0"/>
              <w:right w:val="single" w:color="auto" w:sz="4" w:space="0"/>
            </w:tcBorders>
          </w:tcPr>
          <w:p w14:paraId="52760A5F">
            <w:pPr>
              <w:widowControl/>
              <w:jc w:val="left"/>
              <w:rPr>
                <w:rFonts w:ascii="Times New Roman" w:hAnsi="Times New Roman"/>
              </w:rPr>
            </w:pPr>
            <w:r>
              <w:rPr>
                <w:rFonts w:hint="eastAsia" w:ascii="Times New Roman" w:hAnsi="Times New Roman"/>
              </w:rPr>
              <w:t>用</w:t>
            </w:r>
            <w:r>
              <w:rPr>
                <w:rFonts w:ascii="Times New Roman" w:hAnsi="Times New Roman"/>
              </w:rPr>
              <w:t>年新入职员工增长率</w:t>
            </w:r>
            <w:r>
              <w:rPr>
                <w:rFonts w:hint="eastAsia" w:ascii="Times New Roman" w:hAnsi="Times New Roman"/>
              </w:rPr>
              <w:t>衡量，即当年入职员工数减去上年入职员工数的差占上年入职员工数的比例。</w:t>
            </w:r>
          </w:p>
        </w:tc>
        <w:tc>
          <w:tcPr>
            <w:tcW w:w="4253" w:type="dxa"/>
            <w:tcBorders>
              <w:top w:val="nil"/>
              <w:left w:val="nil"/>
              <w:bottom w:val="single" w:color="auto" w:sz="4" w:space="0"/>
              <w:right w:val="single" w:color="auto" w:sz="4" w:space="0"/>
            </w:tcBorders>
            <w:noWrap/>
          </w:tcPr>
          <w:p w14:paraId="7E3A19FE">
            <w:pPr>
              <w:widowControl/>
              <w:jc w:val="left"/>
              <w:rPr>
                <w:rFonts w:ascii="Times New Roman" w:hAnsi="Times New Roman"/>
                <w:szCs w:val="21"/>
              </w:rPr>
            </w:pPr>
            <w:r>
              <w:rPr>
                <w:rFonts w:ascii="Times New Roman" w:hAnsi="Times New Roman"/>
                <w:szCs w:val="21"/>
              </w:rPr>
              <w:t>增长率达10%及以上的得满分，7%-10%扣1分，4%-7%扣1.5分，1%-4%扣2分，0-1%扣3分，</w:t>
            </w:r>
            <w:r>
              <w:rPr>
                <w:rFonts w:hint="eastAsia" w:ascii="Times New Roman" w:hAnsi="Times New Roman"/>
                <w:sz w:val="22"/>
              </w:rPr>
              <w:t>零或</w:t>
            </w:r>
            <w:r>
              <w:rPr>
                <w:rFonts w:ascii="Times New Roman" w:hAnsi="Times New Roman"/>
                <w:szCs w:val="21"/>
              </w:rPr>
              <w:t>负增长不得分。</w:t>
            </w:r>
          </w:p>
        </w:tc>
        <w:tc>
          <w:tcPr>
            <w:tcW w:w="1560" w:type="dxa"/>
            <w:tcBorders>
              <w:top w:val="nil"/>
              <w:left w:val="nil"/>
              <w:bottom w:val="single" w:color="auto" w:sz="4" w:space="0"/>
              <w:right w:val="single" w:color="auto" w:sz="4" w:space="0"/>
            </w:tcBorders>
          </w:tcPr>
          <w:p w14:paraId="1481895A">
            <w:pPr>
              <w:widowControl/>
              <w:jc w:val="left"/>
              <w:rPr>
                <w:rFonts w:ascii="Times New Roman" w:hAnsi="Times New Roman"/>
              </w:rPr>
            </w:pPr>
            <w:r>
              <w:rPr>
                <w:rFonts w:ascii="Times New Roman" w:hAnsi="Times New Roman"/>
              </w:rPr>
              <w:t>1.申报材料</w:t>
            </w:r>
          </w:p>
          <w:p w14:paraId="21B9AE13">
            <w:pPr>
              <w:widowControl/>
              <w:jc w:val="left"/>
              <w:rPr>
                <w:rFonts w:ascii="Times New Roman" w:hAnsi="Times New Roman"/>
                <w:kern w:val="0"/>
                <w:sz w:val="22"/>
              </w:rPr>
            </w:pPr>
            <w:r>
              <w:rPr>
                <w:rFonts w:ascii="Times New Roman" w:hAnsi="Times New Roman"/>
                <w:kern w:val="0"/>
                <w:sz w:val="22"/>
              </w:rPr>
              <w:t>2.</w:t>
            </w:r>
            <w:r>
              <w:rPr>
                <w:rFonts w:hint="eastAsia" w:ascii="Times New Roman" w:hAnsi="Times New Roman"/>
                <w:kern w:val="0"/>
                <w:sz w:val="22"/>
              </w:rPr>
              <w:t>其他客观性证明材料</w:t>
            </w:r>
          </w:p>
        </w:tc>
        <w:tc>
          <w:tcPr>
            <w:tcW w:w="1240" w:type="dxa"/>
            <w:tcBorders>
              <w:top w:val="nil"/>
              <w:left w:val="nil"/>
              <w:bottom w:val="single" w:color="auto" w:sz="4" w:space="0"/>
              <w:right w:val="single" w:color="auto" w:sz="4" w:space="0"/>
            </w:tcBorders>
            <w:noWrap/>
          </w:tcPr>
          <w:p w14:paraId="59134CF3">
            <w:pPr>
              <w:widowControl/>
              <w:jc w:val="left"/>
              <w:rPr>
                <w:rFonts w:ascii="Times New Roman" w:hAnsi="Times New Roman"/>
                <w:kern w:val="0"/>
                <w:sz w:val="22"/>
              </w:rPr>
            </w:pPr>
          </w:p>
        </w:tc>
      </w:tr>
      <w:tr w14:paraId="06D731EC">
        <w:tblPrEx>
          <w:tblCellMar>
            <w:top w:w="0" w:type="dxa"/>
            <w:left w:w="108" w:type="dxa"/>
            <w:bottom w:w="0" w:type="dxa"/>
            <w:right w:w="108" w:type="dxa"/>
          </w:tblCellMar>
        </w:tblPrEx>
        <w:trPr>
          <w:trHeight w:val="840" w:hRule="atLeast"/>
          <w:jc w:val="center"/>
        </w:trPr>
        <w:tc>
          <w:tcPr>
            <w:tcW w:w="1413" w:type="dxa"/>
            <w:vMerge w:val="continue"/>
            <w:tcBorders>
              <w:top w:val="nil"/>
              <w:left w:val="single" w:color="auto" w:sz="4" w:space="0"/>
              <w:bottom w:val="single" w:color="auto" w:sz="4" w:space="0"/>
              <w:right w:val="single" w:color="auto" w:sz="4" w:space="0"/>
            </w:tcBorders>
            <w:vAlign w:val="center"/>
          </w:tcPr>
          <w:p w14:paraId="5B93249A">
            <w:pPr>
              <w:widowControl/>
              <w:jc w:val="left"/>
              <w:rPr>
                <w:rFonts w:ascii="Times New Roman" w:hAnsi="Times New Roman"/>
                <w:kern w:val="0"/>
                <w:sz w:val="22"/>
              </w:rPr>
            </w:pPr>
          </w:p>
        </w:tc>
        <w:tc>
          <w:tcPr>
            <w:tcW w:w="2551" w:type="dxa"/>
            <w:tcBorders>
              <w:top w:val="nil"/>
              <w:left w:val="nil"/>
              <w:bottom w:val="single" w:color="auto" w:sz="4" w:space="0"/>
              <w:right w:val="single" w:color="auto" w:sz="4" w:space="0"/>
            </w:tcBorders>
            <w:vAlign w:val="center"/>
          </w:tcPr>
          <w:p w14:paraId="5C6BB2A8">
            <w:pPr>
              <w:widowControl/>
              <w:jc w:val="left"/>
              <w:rPr>
                <w:rFonts w:ascii="Times New Roman" w:hAnsi="Times New Roman"/>
                <w:kern w:val="0"/>
                <w:sz w:val="22"/>
              </w:rPr>
            </w:pPr>
            <w:r>
              <w:rPr>
                <w:rFonts w:ascii="Times New Roman" w:hAnsi="Times New Roman"/>
                <w:kern w:val="0"/>
                <w:sz w:val="22"/>
              </w:rPr>
              <w:t>遵纪守法（6分）</w:t>
            </w:r>
          </w:p>
        </w:tc>
        <w:tc>
          <w:tcPr>
            <w:tcW w:w="4253" w:type="dxa"/>
            <w:tcBorders>
              <w:top w:val="nil"/>
              <w:left w:val="nil"/>
              <w:bottom w:val="single" w:color="auto" w:sz="4" w:space="0"/>
              <w:right w:val="single" w:color="auto" w:sz="4" w:space="0"/>
            </w:tcBorders>
            <w:vAlign w:val="center"/>
          </w:tcPr>
          <w:p w14:paraId="20C0C3C4">
            <w:pPr>
              <w:widowControl/>
              <w:jc w:val="left"/>
              <w:rPr>
                <w:rFonts w:ascii="Times New Roman" w:hAnsi="Times New Roman"/>
                <w:kern w:val="0"/>
                <w:sz w:val="22"/>
              </w:rPr>
            </w:pPr>
            <w:r>
              <w:rPr>
                <w:rFonts w:ascii="Times New Roman" w:hAnsi="Times New Roman"/>
                <w:kern w:val="0"/>
                <w:sz w:val="22"/>
              </w:rPr>
              <w:t>依法经营，依法纳税，近5年内无安全、质量、环境污染、公共卫生等事故，近5年内无违法违规和弄虚作假行为。</w:t>
            </w:r>
          </w:p>
        </w:tc>
        <w:tc>
          <w:tcPr>
            <w:tcW w:w="4253" w:type="dxa"/>
            <w:tcBorders>
              <w:top w:val="nil"/>
              <w:left w:val="nil"/>
              <w:bottom w:val="single" w:color="auto" w:sz="4" w:space="0"/>
              <w:right w:val="single" w:color="auto" w:sz="4" w:space="0"/>
            </w:tcBorders>
            <w:noWrap/>
            <w:vAlign w:val="center"/>
          </w:tcPr>
          <w:p w14:paraId="4CB160DC">
            <w:pPr>
              <w:widowControl/>
              <w:jc w:val="left"/>
              <w:rPr>
                <w:rFonts w:ascii="Times New Roman" w:hAnsi="Times New Roman"/>
                <w:kern w:val="0"/>
                <w:sz w:val="22"/>
              </w:rPr>
            </w:pPr>
            <w:r>
              <w:rPr>
                <w:rFonts w:ascii="Times New Roman" w:hAnsi="Times New Roman"/>
                <w:kern w:val="0"/>
                <w:sz w:val="22"/>
              </w:rPr>
              <w:t>符合条件得满分，其他酌情扣分。</w:t>
            </w:r>
          </w:p>
        </w:tc>
        <w:tc>
          <w:tcPr>
            <w:tcW w:w="1560" w:type="dxa"/>
            <w:tcBorders>
              <w:top w:val="nil"/>
              <w:left w:val="nil"/>
              <w:bottom w:val="single" w:color="auto" w:sz="4" w:space="0"/>
              <w:right w:val="single" w:color="auto" w:sz="4" w:space="0"/>
            </w:tcBorders>
            <w:vAlign w:val="center"/>
          </w:tcPr>
          <w:p w14:paraId="4E361D3A">
            <w:pPr>
              <w:widowControl/>
              <w:jc w:val="left"/>
              <w:rPr>
                <w:rFonts w:ascii="Times New Roman" w:hAnsi="Times New Roman"/>
                <w:kern w:val="0"/>
                <w:sz w:val="22"/>
              </w:rPr>
            </w:pPr>
            <w:r>
              <w:rPr>
                <w:rFonts w:ascii="Times New Roman" w:hAnsi="Times New Roman"/>
                <w:kern w:val="0"/>
                <w:sz w:val="22"/>
              </w:rPr>
              <w:t>1.申报材料</w:t>
            </w:r>
            <w:r>
              <w:br w:type="textWrapping"/>
            </w:r>
            <w:r>
              <w:rPr>
                <w:rFonts w:ascii="Times New Roman" w:hAnsi="Times New Roman"/>
                <w:kern w:val="0"/>
                <w:sz w:val="22"/>
              </w:rPr>
              <w:t>2.组织调查</w:t>
            </w:r>
          </w:p>
        </w:tc>
        <w:tc>
          <w:tcPr>
            <w:tcW w:w="1240" w:type="dxa"/>
            <w:tcBorders>
              <w:top w:val="nil"/>
              <w:left w:val="nil"/>
              <w:bottom w:val="single" w:color="auto" w:sz="4" w:space="0"/>
              <w:right w:val="single" w:color="auto" w:sz="4" w:space="0"/>
            </w:tcBorders>
            <w:noWrap/>
            <w:vAlign w:val="center"/>
          </w:tcPr>
          <w:p w14:paraId="06C6337E">
            <w:pPr>
              <w:widowControl/>
              <w:jc w:val="left"/>
              <w:rPr>
                <w:rFonts w:ascii="Times New Roman" w:hAnsi="Times New Roman"/>
                <w:kern w:val="0"/>
                <w:sz w:val="22"/>
              </w:rPr>
            </w:pPr>
          </w:p>
        </w:tc>
      </w:tr>
      <w:tr w14:paraId="7568727A">
        <w:tblPrEx>
          <w:tblCellMar>
            <w:top w:w="0" w:type="dxa"/>
            <w:left w:w="108" w:type="dxa"/>
            <w:bottom w:w="0" w:type="dxa"/>
            <w:right w:w="108" w:type="dxa"/>
          </w:tblCellMar>
        </w:tblPrEx>
        <w:trPr>
          <w:trHeight w:val="840" w:hRule="atLeast"/>
          <w:jc w:val="center"/>
        </w:trPr>
        <w:tc>
          <w:tcPr>
            <w:tcW w:w="3964" w:type="dxa"/>
            <w:gridSpan w:val="2"/>
            <w:tcBorders>
              <w:top w:val="single" w:color="auto" w:sz="4" w:space="0"/>
              <w:left w:val="single" w:color="auto" w:sz="4" w:space="0"/>
              <w:bottom w:val="single" w:color="000000" w:sz="4" w:space="0"/>
              <w:right w:val="single" w:color="auto" w:sz="4" w:space="0"/>
            </w:tcBorders>
            <w:vAlign w:val="center"/>
          </w:tcPr>
          <w:p w14:paraId="79829890">
            <w:pPr>
              <w:widowControl/>
              <w:ind w:firstLine="1546" w:firstLineChars="700"/>
              <w:jc w:val="left"/>
              <w:rPr>
                <w:rFonts w:ascii="Times New Roman" w:hAnsi="Times New Roman"/>
                <w:b/>
                <w:kern w:val="0"/>
                <w:sz w:val="22"/>
              </w:rPr>
            </w:pPr>
            <w:r>
              <w:rPr>
                <w:rFonts w:ascii="Times New Roman" w:hAnsi="Times New Roman"/>
                <w:b/>
                <w:kern w:val="0"/>
                <w:sz w:val="22"/>
              </w:rPr>
              <w:t>总体意见</w:t>
            </w:r>
          </w:p>
        </w:tc>
        <w:tc>
          <w:tcPr>
            <w:tcW w:w="8506" w:type="dxa"/>
            <w:gridSpan w:val="2"/>
            <w:tcBorders>
              <w:top w:val="single" w:color="auto" w:sz="4" w:space="0"/>
              <w:left w:val="nil"/>
              <w:bottom w:val="single" w:color="auto" w:sz="4" w:space="0"/>
              <w:right w:val="single" w:color="auto" w:sz="4" w:space="0"/>
            </w:tcBorders>
            <w:vAlign w:val="center"/>
          </w:tcPr>
          <w:p w14:paraId="7668AD7E">
            <w:pPr>
              <w:widowControl/>
              <w:jc w:val="left"/>
              <w:rPr>
                <w:rFonts w:ascii="Times New Roman" w:hAnsi="Times New Roman"/>
                <w:kern w:val="0"/>
                <w:sz w:val="22"/>
              </w:rPr>
            </w:pPr>
          </w:p>
        </w:tc>
        <w:tc>
          <w:tcPr>
            <w:tcW w:w="1560" w:type="dxa"/>
            <w:tcBorders>
              <w:top w:val="single" w:color="auto" w:sz="4" w:space="0"/>
              <w:left w:val="nil"/>
              <w:bottom w:val="single" w:color="auto" w:sz="4" w:space="0"/>
              <w:right w:val="single" w:color="auto" w:sz="4" w:space="0"/>
            </w:tcBorders>
            <w:vAlign w:val="center"/>
          </w:tcPr>
          <w:p w14:paraId="12502BD4">
            <w:pPr>
              <w:widowControl/>
              <w:ind w:firstLine="221" w:firstLineChars="100"/>
              <w:jc w:val="left"/>
              <w:rPr>
                <w:rFonts w:ascii="Times New Roman" w:hAnsi="Times New Roman"/>
                <w:b/>
                <w:kern w:val="0"/>
                <w:sz w:val="22"/>
              </w:rPr>
            </w:pPr>
            <w:r>
              <w:rPr>
                <w:rFonts w:ascii="Times New Roman" w:hAnsi="Times New Roman"/>
                <w:b/>
                <w:kern w:val="0"/>
                <w:sz w:val="22"/>
              </w:rPr>
              <w:t>得分合计</w:t>
            </w:r>
          </w:p>
        </w:tc>
        <w:tc>
          <w:tcPr>
            <w:tcW w:w="1240" w:type="dxa"/>
            <w:tcBorders>
              <w:top w:val="single" w:color="auto" w:sz="4" w:space="0"/>
              <w:left w:val="nil"/>
              <w:bottom w:val="single" w:color="auto" w:sz="4" w:space="0"/>
              <w:right w:val="single" w:color="auto" w:sz="4" w:space="0"/>
            </w:tcBorders>
            <w:noWrap/>
            <w:vAlign w:val="center"/>
          </w:tcPr>
          <w:p w14:paraId="748C9121">
            <w:pPr>
              <w:widowControl/>
              <w:jc w:val="left"/>
              <w:rPr>
                <w:rFonts w:ascii="Times New Roman" w:hAnsi="Times New Roman"/>
                <w:kern w:val="0"/>
                <w:sz w:val="22"/>
              </w:rPr>
            </w:pPr>
          </w:p>
        </w:tc>
      </w:tr>
    </w:tbl>
    <w:p w14:paraId="73284EA5">
      <w:pPr>
        <w:rPr>
          <w:rFonts w:ascii="Times New Roman" w:hAnsi="Times New Roman"/>
        </w:rPr>
      </w:pPr>
    </w:p>
    <w:p w14:paraId="334461DB">
      <w:pPr>
        <w:spacing w:line="460" w:lineRule="exact"/>
        <w:rPr>
          <w:rFonts w:ascii="Times New Roman" w:hAnsi="Times New Roman"/>
        </w:rPr>
      </w:pPr>
      <w:r>
        <w:br w:type="page"/>
      </w:r>
      <w:r>
        <w:rPr>
          <w:rFonts w:ascii="Times New Roman" w:hAnsi="Times New Roman"/>
          <w:bCs/>
          <w:kern w:val="0"/>
          <w:sz w:val="30"/>
          <w:szCs w:val="30"/>
        </w:rPr>
        <w:t>附件四</w:t>
      </w:r>
    </w:p>
    <w:p w14:paraId="209A9432">
      <w:pPr>
        <w:spacing w:after="120" w:line="4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2024年度青岛新质领航企业审查计分表</w:t>
      </w:r>
    </w:p>
    <w:tbl>
      <w:tblPr>
        <w:tblStyle w:val="5"/>
        <w:tblW w:w="15270" w:type="dxa"/>
        <w:jc w:val="center"/>
        <w:tblLayout w:type="fixed"/>
        <w:tblCellMar>
          <w:top w:w="0" w:type="dxa"/>
          <w:left w:w="108" w:type="dxa"/>
          <w:bottom w:w="0" w:type="dxa"/>
          <w:right w:w="108" w:type="dxa"/>
        </w:tblCellMar>
      </w:tblPr>
      <w:tblGrid>
        <w:gridCol w:w="1144"/>
        <w:gridCol w:w="1545"/>
        <w:gridCol w:w="4961"/>
        <w:gridCol w:w="4804"/>
        <w:gridCol w:w="1688"/>
        <w:gridCol w:w="1128"/>
      </w:tblGrid>
      <w:tr w14:paraId="0F0EB708">
        <w:tblPrEx>
          <w:tblCellMar>
            <w:top w:w="0" w:type="dxa"/>
            <w:left w:w="108" w:type="dxa"/>
            <w:bottom w:w="0" w:type="dxa"/>
            <w:right w:w="108" w:type="dxa"/>
          </w:tblCellMar>
        </w:tblPrEx>
        <w:trPr>
          <w:trHeight w:val="656" w:hRule="atLeast"/>
          <w:tblHeader/>
          <w:jc w:val="center"/>
        </w:trPr>
        <w:tc>
          <w:tcPr>
            <w:tcW w:w="1144" w:type="dxa"/>
            <w:tcBorders>
              <w:top w:val="single" w:color="auto" w:sz="4" w:space="0"/>
              <w:left w:val="single" w:color="auto" w:sz="4" w:space="0"/>
              <w:bottom w:val="single" w:color="auto" w:sz="4" w:space="0"/>
              <w:right w:val="single" w:color="auto" w:sz="4" w:space="0"/>
            </w:tcBorders>
            <w:vAlign w:val="center"/>
          </w:tcPr>
          <w:p w14:paraId="76A1766C">
            <w:pPr>
              <w:spacing w:line="300" w:lineRule="exact"/>
              <w:jc w:val="center"/>
              <w:rPr>
                <w:rFonts w:ascii="Times New Roman" w:hAnsi="Times New Roman"/>
                <w:b/>
                <w:bCs/>
                <w:sz w:val="22"/>
              </w:rPr>
            </w:pPr>
            <w:r>
              <w:rPr>
                <w:rFonts w:ascii="Times New Roman" w:hAnsi="Times New Roman"/>
                <w:b/>
                <w:bCs/>
                <w:sz w:val="22"/>
              </w:rPr>
              <w:t>一级指标</w:t>
            </w:r>
          </w:p>
        </w:tc>
        <w:tc>
          <w:tcPr>
            <w:tcW w:w="1545" w:type="dxa"/>
            <w:tcBorders>
              <w:top w:val="single" w:color="auto" w:sz="4" w:space="0"/>
              <w:left w:val="nil"/>
              <w:bottom w:val="single" w:color="auto" w:sz="4" w:space="0"/>
              <w:right w:val="single" w:color="auto" w:sz="4" w:space="0"/>
            </w:tcBorders>
            <w:vAlign w:val="center"/>
          </w:tcPr>
          <w:p w14:paraId="74B3F18A">
            <w:pPr>
              <w:spacing w:line="300" w:lineRule="exact"/>
              <w:jc w:val="center"/>
              <w:rPr>
                <w:rFonts w:ascii="Times New Roman" w:hAnsi="Times New Roman"/>
                <w:b/>
                <w:bCs/>
                <w:sz w:val="22"/>
              </w:rPr>
            </w:pPr>
            <w:r>
              <w:rPr>
                <w:rFonts w:ascii="Times New Roman" w:hAnsi="Times New Roman"/>
                <w:b/>
                <w:bCs/>
                <w:sz w:val="22"/>
              </w:rPr>
              <w:t>二级指标</w:t>
            </w:r>
          </w:p>
        </w:tc>
        <w:tc>
          <w:tcPr>
            <w:tcW w:w="4961" w:type="dxa"/>
            <w:tcBorders>
              <w:top w:val="single" w:color="auto" w:sz="4" w:space="0"/>
              <w:left w:val="nil"/>
              <w:bottom w:val="single" w:color="auto" w:sz="4" w:space="0"/>
              <w:right w:val="single" w:color="auto" w:sz="4" w:space="0"/>
            </w:tcBorders>
            <w:vAlign w:val="center"/>
          </w:tcPr>
          <w:p w14:paraId="3CB0975A">
            <w:pPr>
              <w:spacing w:line="300" w:lineRule="exact"/>
              <w:jc w:val="center"/>
              <w:rPr>
                <w:rFonts w:ascii="Times New Roman" w:hAnsi="Times New Roman"/>
                <w:b/>
                <w:bCs/>
                <w:sz w:val="22"/>
              </w:rPr>
            </w:pPr>
            <w:r>
              <w:rPr>
                <w:rFonts w:ascii="Times New Roman" w:hAnsi="Times New Roman"/>
                <w:b/>
                <w:bCs/>
                <w:sz w:val="22"/>
              </w:rPr>
              <w:t>指标解释</w:t>
            </w:r>
          </w:p>
        </w:tc>
        <w:tc>
          <w:tcPr>
            <w:tcW w:w="4804" w:type="dxa"/>
            <w:tcBorders>
              <w:top w:val="single" w:color="auto" w:sz="4" w:space="0"/>
              <w:left w:val="nil"/>
              <w:bottom w:val="single" w:color="auto" w:sz="4" w:space="0"/>
              <w:right w:val="single" w:color="auto" w:sz="4" w:space="0"/>
            </w:tcBorders>
            <w:noWrap/>
            <w:vAlign w:val="center"/>
          </w:tcPr>
          <w:p w14:paraId="7779FA88">
            <w:pPr>
              <w:spacing w:line="300" w:lineRule="exact"/>
              <w:jc w:val="center"/>
              <w:rPr>
                <w:rFonts w:ascii="Times New Roman" w:hAnsi="Times New Roman"/>
                <w:b/>
                <w:bCs/>
                <w:sz w:val="22"/>
              </w:rPr>
            </w:pPr>
            <w:r>
              <w:rPr>
                <w:rFonts w:ascii="Times New Roman" w:hAnsi="Times New Roman"/>
                <w:b/>
                <w:bCs/>
                <w:sz w:val="22"/>
              </w:rPr>
              <w:t>赋分细则</w:t>
            </w:r>
          </w:p>
        </w:tc>
        <w:tc>
          <w:tcPr>
            <w:tcW w:w="1688" w:type="dxa"/>
            <w:tcBorders>
              <w:top w:val="single" w:color="auto" w:sz="4" w:space="0"/>
              <w:left w:val="nil"/>
              <w:bottom w:val="single" w:color="auto" w:sz="4" w:space="0"/>
              <w:right w:val="single" w:color="auto" w:sz="4" w:space="0"/>
            </w:tcBorders>
            <w:vAlign w:val="center"/>
          </w:tcPr>
          <w:p w14:paraId="509607AF">
            <w:pPr>
              <w:spacing w:line="300" w:lineRule="exact"/>
              <w:jc w:val="center"/>
              <w:rPr>
                <w:rFonts w:ascii="Times New Roman" w:hAnsi="Times New Roman"/>
                <w:b/>
                <w:bCs/>
                <w:sz w:val="22"/>
              </w:rPr>
            </w:pPr>
            <w:r>
              <w:rPr>
                <w:rFonts w:ascii="Times New Roman" w:hAnsi="Times New Roman"/>
                <w:b/>
                <w:bCs/>
                <w:sz w:val="22"/>
              </w:rPr>
              <w:t>审查依据资料</w:t>
            </w:r>
          </w:p>
        </w:tc>
        <w:tc>
          <w:tcPr>
            <w:tcW w:w="1128" w:type="dxa"/>
            <w:tcBorders>
              <w:top w:val="single" w:color="auto" w:sz="4" w:space="0"/>
              <w:left w:val="nil"/>
              <w:bottom w:val="single" w:color="auto" w:sz="4" w:space="0"/>
              <w:right w:val="single" w:color="auto" w:sz="4" w:space="0"/>
            </w:tcBorders>
            <w:vAlign w:val="center"/>
          </w:tcPr>
          <w:p w14:paraId="066DD840">
            <w:pPr>
              <w:spacing w:line="300" w:lineRule="exact"/>
              <w:jc w:val="center"/>
              <w:rPr>
                <w:rFonts w:ascii="Times New Roman" w:hAnsi="Times New Roman"/>
                <w:b/>
                <w:bCs/>
                <w:sz w:val="22"/>
              </w:rPr>
            </w:pPr>
            <w:r>
              <w:rPr>
                <w:rFonts w:hint="eastAsia" w:ascii="Times New Roman" w:hAnsi="Times New Roman"/>
                <w:b/>
                <w:bCs/>
                <w:sz w:val="22"/>
              </w:rPr>
              <w:t>审查</w:t>
            </w:r>
            <w:r>
              <w:rPr>
                <w:rFonts w:ascii="Times New Roman" w:hAnsi="Times New Roman"/>
                <w:b/>
                <w:bCs/>
                <w:sz w:val="22"/>
              </w:rPr>
              <w:t>计分</w:t>
            </w:r>
          </w:p>
        </w:tc>
      </w:tr>
      <w:tr w14:paraId="6E2892DB">
        <w:tblPrEx>
          <w:tblCellMar>
            <w:top w:w="0" w:type="dxa"/>
            <w:left w:w="108" w:type="dxa"/>
            <w:bottom w:w="0" w:type="dxa"/>
            <w:right w:w="108" w:type="dxa"/>
          </w:tblCellMar>
        </w:tblPrEx>
        <w:trPr>
          <w:trHeight w:val="1710" w:hRule="atLeast"/>
          <w:jc w:val="center"/>
        </w:trPr>
        <w:tc>
          <w:tcPr>
            <w:tcW w:w="1144" w:type="dxa"/>
            <w:vMerge w:val="restart"/>
            <w:tcBorders>
              <w:top w:val="single" w:color="auto" w:sz="4" w:space="0"/>
              <w:left w:val="single" w:color="auto" w:sz="4" w:space="0"/>
              <w:right w:val="single" w:color="auto" w:sz="4" w:space="0"/>
            </w:tcBorders>
            <w:vAlign w:val="center"/>
          </w:tcPr>
          <w:p w14:paraId="4E657DB2">
            <w:pPr>
              <w:spacing w:line="300" w:lineRule="exact"/>
              <w:rPr>
                <w:rFonts w:ascii="Times New Roman" w:hAnsi="Times New Roman"/>
                <w:sz w:val="22"/>
              </w:rPr>
            </w:pPr>
            <w:r>
              <w:rPr>
                <w:rFonts w:ascii="Times New Roman" w:hAnsi="Times New Roman"/>
                <w:sz w:val="22"/>
              </w:rPr>
              <w:t>主营业务</w:t>
            </w:r>
            <w:r>
              <w:rPr>
                <w:rFonts w:hint="eastAsia" w:ascii="Times New Roman" w:hAnsi="Times New Roman"/>
                <w:sz w:val="22"/>
              </w:rPr>
              <w:t>及核心技术具有的颠覆性、引领性、补白性创新情况</w:t>
            </w:r>
          </w:p>
          <w:p w14:paraId="794966E8">
            <w:pPr>
              <w:spacing w:line="300" w:lineRule="exact"/>
              <w:jc w:val="center"/>
              <w:rPr>
                <w:rFonts w:ascii="Times New Roman" w:hAnsi="Times New Roman"/>
                <w:sz w:val="22"/>
              </w:rPr>
            </w:pPr>
            <w:r>
              <w:rPr>
                <w:rFonts w:ascii="Times New Roman" w:hAnsi="Times New Roman"/>
                <w:sz w:val="22"/>
              </w:rPr>
              <w:t>（45分）</w:t>
            </w:r>
          </w:p>
        </w:tc>
        <w:tc>
          <w:tcPr>
            <w:tcW w:w="1545" w:type="dxa"/>
            <w:tcBorders>
              <w:top w:val="nil"/>
              <w:left w:val="nil"/>
              <w:bottom w:val="single" w:color="auto" w:sz="4" w:space="0"/>
              <w:right w:val="single" w:color="auto" w:sz="4" w:space="0"/>
            </w:tcBorders>
            <w:vAlign w:val="center"/>
          </w:tcPr>
          <w:p w14:paraId="0A8E733E">
            <w:pPr>
              <w:spacing w:line="300" w:lineRule="exact"/>
              <w:jc w:val="center"/>
              <w:rPr>
                <w:rFonts w:ascii="Times New Roman" w:hAnsi="Times New Roman"/>
                <w:sz w:val="22"/>
              </w:rPr>
            </w:pPr>
            <w:r>
              <w:rPr>
                <w:rFonts w:hint="eastAsia" w:ascii="Times New Roman" w:hAnsi="Times New Roman"/>
                <w:sz w:val="22"/>
              </w:rPr>
              <w:t>主营业务、</w:t>
            </w:r>
            <w:r>
              <w:rPr>
                <w:rFonts w:ascii="Times New Roman" w:hAnsi="Times New Roman"/>
                <w:sz w:val="22"/>
              </w:rPr>
              <w:t>产业和技术</w:t>
            </w:r>
            <w:r>
              <w:rPr>
                <w:rFonts w:hint="eastAsia" w:ascii="Times New Roman" w:hAnsi="Times New Roman"/>
                <w:sz w:val="22"/>
              </w:rPr>
              <w:t>领域</w:t>
            </w:r>
          </w:p>
          <w:p w14:paraId="622FD940">
            <w:pPr>
              <w:spacing w:line="300" w:lineRule="exact"/>
              <w:jc w:val="center"/>
              <w:rPr>
                <w:rFonts w:ascii="Times New Roman" w:hAnsi="Times New Roman"/>
                <w:sz w:val="22"/>
              </w:rPr>
            </w:pPr>
            <w:r>
              <w:rPr>
                <w:rFonts w:hint="eastAsia" w:ascii="Times New Roman" w:hAnsi="Times New Roman"/>
                <w:sz w:val="22"/>
              </w:rPr>
              <w:t>（</w:t>
            </w:r>
            <w:r>
              <w:rPr>
                <w:rFonts w:ascii="Times New Roman" w:hAnsi="Times New Roman"/>
                <w:sz w:val="22"/>
              </w:rPr>
              <w:t>15</w:t>
            </w:r>
            <w:r>
              <w:rPr>
                <w:rFonts w:hint="eastAsia" w:ascii="Times New Roman" w:hAnsi="Times New Roman"/>
                <w:sz w:val="22"/>
              </w:rPr>
              <w:t>）</w:t>
            </w:r>
          </w:p>
        </w:tc>
        <w:tc>
          <w:tcPr>
            <w:tcW w:w="4961" w:type="dxa"/>
            <w:tcBorders>
              <w:top w:val="nil"/>
              <w:left w:val="nil"/>
              <w:bottom w:val="single" w:color="auto" w:sz="4" w:space="0"/>
              <w:right w:val="single" w:color="auto" w:sz="4" w:space="0"/>
            </w:tcBorders>
            <w:vAlign w:val="center"/>
          </w:tcPr>
          <w:p w14:paraId="1B959377">
            <w:pPr>
              <w:spacing w:line="300" w:lineRule="exact"/>
              <w:rPr>
                <w:rFonts w:ascii="Times New Roman" w:hAnsi="Times New Roman"/>
                <w:sz w:val="22"/>
              </w:rPr>
            </w:pPr>
            <w:r>
              <w:rPr>
                <w:rFonts w:ascii="Times New Roman" w:hAnsi="Times New Roman"/>
                <w:sz w:val="22"/>
              </w:rPr>
              <w:t>主营业务、产业和技术属于战略性新兴产业</w:t>
            </w:r>
            <w:r>
              <w:rPr>
                <w:rFonts w:hint="eastAsia" w:ascii="Times New Roman" w:hAnsi="Times New Roman"/>
                <w:sz w:val="22"/>
              </w:rPr>
              <w:t>（具体产业参照国家统计局发布的《战略性新兴产业分类（2</w:t>
            </w:r>
            <w:r>
              <w:rPr>
                <w:rFonts w:ascii="Times New Roman" w:hAnsi="Times New Roman"/>
                <w:sz w:val="22"/>
              </w:rPr>
              <w:t>018</w:t>
            </w:r>
            <w:r>
              <w:rPr>
                <w:rFonts w:hint="eastAsia" w:ascii="Times New Roman" w:hAnsi="Times New Roman"/>
                <w:sz w:val="22"/>
              </w:rPr>
              <w:t>）》）或</w:t>
            </w:r>
            <w:r>
              <w:rPr>
                <w:rFonts w:ascii="Times New Roman" w:hAnsi="Times New Roman"/>
                <w:sz w:val="22"/>
              </w:rPr>
              <w:t>未来产业</w:t>
            </w:r>
            <w:r>
              <w:rPr>
                <w:rFonts w:hint="eastAsia" w:ascii="Times New Roman" w:hAnsi="Times New Roman"/>
                <w:sz w:val="22"/>
              </w:rPr>
              <w:t>（参照工信部等七部门公布的《关于推动未来产业创新发展的实施意见》中提到的未来产业六大赛道。</w:t>
            </w:r>
          </w:p>
        </w:tc>
        <w:tc>
          <w:tcPr>
            <w:tcW w:w="4804" w:type="dxa"/>
            <w:tcBorders>
              <w:top w:val="nil"/>
              <w:left w:val="nil"/>
              <w:bottom w:val="single" w:color="auto" w:sz="4" w:space="0"/>
              <w:right w:val="single" w:color="auto" w:sz="4" w:space="0"/>
            </w:tcBorders>
            <w:noWrap/>
            <w:vAlign w:val="center"/>
          </w:tcPr>
          <w:p w14:paraId="4DFDB3CE">
            <w:pPr>
              <w:spacing w:line="300" w:lineRule="exact"/>
              <w:rPr>
                <w:rFonts w:ascii="Times New Roman" w:hAnsi="Times New Roman"/>
                <w:sz w:val="22"/>
              </w:rPr>
            </w:pPr>
            <w:r>
              <w:rPr>
                <w:rFonts w:ascii="Times New Roman" w:hAnsi="Times New Roman"/>
                <w:sz w:val="22"/>
              </w:rPr>
              <w:t>符合条件得满分，否则该项不得分</w:t>
            </w:r>
          </w:p>
          <w:p w14:paraId="7C744CBC">
            <w:pPr>
              <w:spacing w:line="300" w:lineRule="exact"/>
              <w:rPr>
                <w:rFonts w:ascii="Times New Roman" w:hAnsi="Times New Roman"/>
                <w:sz w:val="22"/>
              </w:rPr>
            </w:pPr>
          </w:p>
          <w:p w14:paraId="6C21E7DC">
            <w:pPr>
              <w:spacing w:line="300" w:lineRule="exact"/>
              <w:rPr>
                <w:rFonts w:ascii="Times New Roman" w:hAnsi="Times New Roman"/>
                <w:sz w:val="22"/>
              </w:rPr>
            </w:pPr>
          </w:p>
          <w:p w14:paraId="0ED2A7F4">
            <w:pPr>
              <w:spacing w:line="300" w:lineRule="exact"/>
              <w:rPr>
                <w:rFonts w:ascii="Times New Roman" w:hAnsi="Times New Roman"/>
                <w:sz w:val="22"/>
              </w:rPr>
            </w:pPr>
          </w:p>
        </w:tc>
        <w:tc>
          <w:tcPr>
            <w:tcW w:w="1688" w:type="dxa"/>
            <w:tcBorders>
              <w:top w:val="nil"/>
              <w:left w:val="nil"/>
              <w:bottom w:val="single" w:color="auto" w:sz="4" w:space="0"/>
              <w:right w:val="single" w:color="auto" w:sz="4" w:space="0"/>
            </w:tcBorders>
            <w:vAlign w:val="center"/>
          </w:tcPr>
          <w:p w14:paraId="369FF7EE">
            <w:pPr>
              <w:spacing w:line="300" w:lineRule="exact"/>
              <w:rPr>
                <w:rFonts w:ascii="Times New Roman" w:hAnsi="Times New Roman"/>
                <w:sz w:val="22"/>
              </w:rPr>
            </w:pPr>
            <w:r>
              <w:rPr>
                <w:rFonts w:ascii="Times New Roman" w:hAnsi="Times New Roman"/>
                <w:sz w:val="22"/>
              </w:rPr>
              <w:t>1.申报材料</w:t>
            </w:r>
          </w:p>
          <w:p w14:paraId="16E0300B">
            <w:pPr>
              <w:spacing w:line="300" w:lineRule="exact"/>
              <w:rPr>
                <w:rFonts w:ascii="Times New Roman" w:hAnsi="Times New Roman"/>
                <w:sz w:val="22"/>
              </w:rPr>
            </w:pPr>
            <w:r>
              <w:rPr>
                <w:rFonts w:ascii="Times New Roman" w:hAnsi="Times New Roman"/>
                <w:sz w:val="22"/>
              </w:rPr>
              <w:t>2.组织调查</w:t>
            </w:r>
          </w:p>
          <w:p w14:paraId="0442B862">
            <w:pPr>
              <w:spacing w:line="300" w:lineRule="exact"/>
              <w:rPr>
                <w:rFonts w:ascii="Times New Roman" w:hAnsi="Times New Roman"/>
                <w:sz w:val="22"/>
              </w:rPr>
            </w:pPr>
            <w:r>
              <w:rPr>
                <w:rFonts w:hint="eastAsia" w:ascii="Times New Roman" w:hAnsi="Times New Roman"/>
                <w:sz w:val="22"/>
              </w:rPr>
              <w:t>3</w:t>
            </w:r>
            <w:r>
              <w:rPr>
                <w:rFonts w:ascii="Times New Roman" w:hAnsi="Times New Roman"/>
                <w:sz w:val="22"/>
              </w:rPr>
              <w:t>.</w:t>
            </w:r>
            <w:r>
              <w:rPr>
                <w:rFonts w:hint="eastAsia" w:ascii="Times New Roman" w:hAnsi="Times New Roman"/>
                <w:sz w:val="22"/>
              </w:rPr>
              <w:t>证明材料</w:t>
            </w:r>
          </w:p>
        </w:tc>
        <w:tc>
          <w:tcPr>
            <w:tcW w:w="1128" w:type="dxa"/>
            <w:tcBorders>
              <w:top w:val="nil"/>
              <w:left w:val="nil"/>
              <w:bottom w:val="single" w:color="auto" w:sz="4" w:space="0"/>
              <w:right w:val="single" w:color="auto" w:sz="4" w:space="0"/>
            </w:tcBorders>
            <w:noWrap/>
            <w:vAlign w:val="center"/>
          </w:tcPr>
          <w:p w14:paraId="361DFD69">
            <w:pPr>
              <w:spacing w:line="300" w:lineRule="exact"/>
              <w:rPr>
                <w:rFonts w:ascii="Times New Roman" w:hAnsi="Times New Roman"/>
                <w:sz w:val="22"/>
              </w:rPr>
            </w:pPr>
          </w:p>
        </w:tc>
      </w:tr>
      <w:tr w14:paraId="75629B33">
        <w:tblPrEx>
          <w:tblCellMar>
            <w:top w:w="0" w:type="dxa"/>
            <w:left w:w="108" w:type="dxa"/>
            <w:bottom w:w="0" w:type="dxa"/>
            <w:right w:w="108" w:type="dxa"/>
          </w:tblCellMar>
        </w:tblPrEx>
        <w:trPr>
          <w:trHeight w:val="974" w:hRule="atLeast"/>
          <w:jc w:val="center"/>
        </w:trPr>
        <w:tc>
          <w:tcPr>
            <w:tcW w:w="1144" w:type="dxa"/>
            <w:vMerge w:val="continue"/>
            <w:tcBorders>
              <w:left w:val="single" w:color="auto" w:sz="4" w:space="0"/>
              <w:bottom w:val="single" w:color="auto" w:sz="4" w:space="0"/>
              <w:right w:val="single" w:color="auto" w:sz="4" w:space="0"/>
            </w:tcBorders>
            <w:vAlign w:val="center"/>
          </w:tcPr>
          <w:p w14:paraId="4A255AB4">
            <w:pPr>
              <w:spacing w:line="300" w:lineRule="exact"/>
              <w:jc w:val="center"/>
              <w:rPr>
                <w:rFonts w:ascii="Times New Roman" w:hAnsi="Times New Roman"/>
                <w:sz w:val="22"/>
              </w:rPr>
            </w:pPr>
          </w:p>
        </w:tc>
        <w:tc>
          <w:tcPr>
            <w:tcW w:w="1545" w:type="dxa"/>
            <w:tcBorders>
              <w:top w:val="single" w:color="auto" w:sz="4" w:space="0"/>
              <w:left w:val="nil"/>
              <w:bottom w:val="single" w:color="auto" w:sz="4" w:space="0"/>
              <w:right w:val="single" w:color="auto" w:sz="4" w:space="0"/>
            </w:tcBorders>
            <w:vAlign w:val="center"/>
          </w:tcPr>
          <w:p w14:paraId="5C0A1364">
            <w:pPr>
              <w:spacing w:line="300" w:lineRule="exact"/>
              <w:jc w:val="center"/>
              <w:rPr>
                <w:rFonts w:ascii="Times New Roman" w:hAnsi="Times New Roman"/>
                <w:sz w:val="22"/>
              </w:rPr>
            </w:pPr>
            <w:r>
              <w:rPr>
                <w:rFonts w:hint="eastAsia" w:ascii="Times New Roman" w:hAnsi="Times New Roman"/>
                <w:sz w:val="22"/>
              </w:rPr>
              <w:t>核心技术所具有的颠覆性、引领性、补白性创新情况</w:t>
            </w:r>
          </w:p>
          <w:p w14:paraId="6BF73764">
            <w:pPr>
              <w:spacing w:line="300" w:lineRule="exact"/>
              <w:jc w:val="center"/>
              <w:rPr>
                <w:rFonts w:ascii="Times New Roman" w:hAnsi="Times New Roman"/>
                <w:sz w:val="22"/>
              </w:rPr>
            </w:pPr>
            <w:r>
              <w:rPr>
                <w:rFonts w:hint="eastAsia" w:ascii="Times New Roman" w:hAnsi="Times New Roman"/>
                <w:sz w:val="22"/>
              </w:rPr>
              <w:t>（</w:t>
            </w:r>
            <w:r>
              <w:rPr>
                <w:rFonts w:ascii="Times New Roman" w:hAnsi="Times New Roman"/>
                <w:sz w:val="22"/>
              </w:rPr>
              <w:t>30</w:t>
            </w:r>
            <w:r>
              <w:rPr>
                <w:rFonts w:hint="eastAsia" w:ascii="Times New Roman" w:hAnsi="Times New Roman"/>
                <w:sz w:val="22"/>
              </w:rPr>
              <w:t>）</w:t>
            </w:r>
          </w:p>
        </w:tc>
        <w:tc>
          <w:tcPr>
            <w:tcW w:w="4961" w:type="dxa"/>
            <w:tcBorders>
              <w:top w:val="single" w:color="auto" w:sz="4" w:space="0"/>
              <w:left w:val="nil"/>
              <w:bottom w:val="single" w:color="auto" w:sz="4" w:space="0"/>
              <w:right w:val="single" w:color="auto" w:sz="4" w:space="0"/>
            </w:tcBorders>
            <w:vAlign w:val="center"/>
          </w:tcPr>
          <w:p w14:paraId="105A3564">
            <w:pPr>
              <w:spacing w:line="300" w:lineRule="exact"/>
              <w:rPr>
                <w:rFonts w:ascii="Times New Roman" w:hAnsi="Times New Roman"/>
                <w:sz w:val="22"/>
              </w:rPr>
            </w:pPr>
            <w:r>
              <w:rPr>
                <w:rFonts w:hint="eastAsia" w:ascii="Times New Roman" w:hAnsi="Times New Roman"/>
                <w:sz w:val="22"/>
              </w:rPr>
              <w:t>核心技术在国际和国内同行业的先进程度及认可度情况；核心技术是否具有颠覆性、引领性、补白性创新，是否催生新产业、新模式、新动能。</w:t>
            </w:r>
          </w:p>
        </w:tc>
        <w:tc>
          <w:tcPr>
            <w:tcW w:w="4804" w:type="dxa"/>
            <w:tcBorders>
              <w:top w:val="single" w:color="auto" w:sz="4" w:space="0"/>
              <w:left w:val="nil"/>
              <w:bottom w:val="single" w:color="auto" w:sz="4" w:space="0"/>
              <w:right w:val="single" w:color="auto" w:sz="4" w:space="0"/>
            </w:tcBorders>
            <w:noWrap/>
            <w:vAlign w:val="center"/>
          </w:tcPr>
          <w:p w14:paraId="5A96F6E6">
            <w:pPr>
              <w:spacing w:line="300" w:lineRule="exact"/>
              <w:rPr>
                <w:rFonts w:ascii="Times New Roman" w:hAnsi="Times New Roman"/>
                <w:sz w:val="22"/>
              </w:rPr>
            </w:pPr>
            <w:r>
              <w:rPr>
                <w:rFonts w:hint="eastAsia" w:ascii="Times New Roman" w:hAnsi="Times New Roman"/>
                <w:sz w:val="22"/>
              </w:rPr>
              <w:t>根据核心技术所具有的颠覆性、引领性、补白性创新情况以及在国际国内同行业的地位与认可度酌情赋分。</w:t>
            </w:r>
          </w:p>
        </w:tc>
        <w:tc>
          <w:tcPr>
            <w:tcW w:w="1688" w:type="dxa"/>
            <w:tcBorders>
              <w:top w:val="single" w:color="auto" w:sz="4" w:space="0"/>
              <w:left w:val="nil"/>
              <w:bottom w:val="single" w:color="auto" w:sz="4" w:space="0"/>
              <w:right w:val="single" w:color="auto" w:sz="4" w:space="0"/>
            </w:tcBorders>
            <w:vAlign w:val="center"/>
          </w:tcPr>
          <w:p w14:paraId="604A7EDF">
            <w:pPr>
              <w:spacing w:line="300" w:lineRule="exact"/>
              <w:rPr>
                <w:rFonts w:ascii="Times New Roman" w:hAnsi="Times New Roman"/>
                <w:sz w:val="22"/>
              </w:rPr>
            </w:pPr>
            <w:r>
              <w:rPr>
                <w:rFonts w:ascii="Times New Roman" w:hAnsi="Times New Roman"/>
                <w:sz w:val="22"/>
              </w:rPr>
              <w:t>1.申报材料</w:t>
            </w:r>
          </w:p>
          <w:p w14:paraId="6B0EB092">
            <w:pPr>
              <w:spacing w:line="300" w:lineRule="exact"/>
              <w:rPr>
                <w:rFonts w:ascii="Times New Roman" w:hAnsi="Times New Roman"/>
                <w:sz w:val="22"/>
              </w:rPr>
            </w:pPr>
            <w:r>
              <w:rPr>
                <w:rFonts w:ascii="Times New Roman" w:hAnsi="Times New Roman"/>
                <w:sz w:val="22"/>
              </w:rPr>
              <w:t>2.</w:t>
            </w:r>
            <w:r>
              <w:rPr>
                <w:rFonts w:hint="eastAsia" w:ascii="Times New Roman" w:hAnsi="Times New Roman"/>
                <w:sz w:val="22"/>
              </w:rPr>
              <w:t>证明材料</w:t>
            </w:r>
          </w:p>
        </w:tc>
        <w:tc>
          <w:tcPr>
            <w:tcW w:w="1128" w:type="dxa"/>
            <w:tcBorders>
              <w:top w:val="single" w:color="auto" w:sz="4" w:space="0"/>
              <w:left w:val="nil"/>
              <w:bottom w:val="single" w:color="auto" w:sz="4" w:space="0"/>
              <w:right w:val="single" w:color="auto" w:sz="4" w:space="0"/>
            </w:tcBorders>
            <w:noWrap/>
            <w:vAlign w:val="center"/>
          </w:tcPr>
          <w:p w14:paraId="66C91A30">
            <w:pPr>
              <w:spacing w:line="300" w:lineRule="exact"/>
              <w:rPr>
                <w:rFonts w:ascii="Times New Roman" w:hAnsi="Times New Roman"/>
                <w:sz w:val="22"/>
              </w:rPr>
            </w:pPr>
          </w:p>
        </w:tc>
      </w:tr>
      <w:tr w14:paraId="3B5491D2">
        <w:tblPrEx>
          <w:tblCellMar>
            <w:top w:w="0" w:type="dxa"/>
            <w:left w:w="108" w:type="dxa"/>
            <w:bottom w:w="0" w:type="dxa"/>
            <w:right w:w="108" w:type="dxa"/>
          </w:tblCellMar>
        </w:tblPrEx>
        <w:trPr>
          <w:trHeight w:val="90" w:hRule="atLeast"/>
          <w:jc w:val="center"/>
        </w:trPr>
        <w:tc>
          <w:tcPr>
            <w:tcW w:w="1144" w:type="dxa"/>
            <w:vMerge w:val="restart"/>
            <w:tcBorders>
              <w:top w:val="single" w:color="auto" w:sz="4" w:space="0"/>
              <w:left w:val="single" w:color="auto" w:sz="4" w:space="0"/>
              <w:bottom w:val="single" w:color="auto" w:sz="4" w:space="0"/>
              <w:right w:val="single" w:color="auto" w:sz="4" w:space="0"/>
            </w:tcBorders>
            <w:vAlign w:val="center"/>
          </w:tcPr>
          <w:p w14:paraId="7227679A">
            <w:pPr>
              <w:spacing w:line="300" w:lineRule="exact"/>
              <w:rPr>
                <w:rFonts w:ascii="Times New Roman" w:hAnsi="Times New Roman"/>
                <w:sz w:val="22"/>
              </w:rPr>
            </w:pPr>
            <w:r>
              <w:rPr>
                <w:rFonts w:ascii="Times New Roman" w:hAnsi="Times New Roman"/>
                <w:sz w:val="22"/>
              </w:rPr>
              <w:t>创新与研发能力（45分）</w:t>
            </w:r>
          </w:p>
        </w:tc>
        <w:tc>
          <w:tcPr>
            <w:tcW w:w="1545" w:type="dxa"/>
            <w:tcBorders>
              <w:top w:val="single" w:color="auto" w:sz="4" w:space="0"/>
              <w:left w:val="nil"/>
              <w:bottom w:val="single" w:color="auto" w:sz="4" w:space="0"/>
              <w:right w:val="single" w:color="auto" w:sz="4" w:space="0"/>
            </w:tcBorders>
            <w:vAlign w:val="center"/>
          </w:tcPr>
          <w:p w14:paraId="3EC3B193">
            <w:pPr>
              <w:spacing w:line="300" w:lineRule="exact"/>
              <w:rPr>
                <w:rFonts w:ascii="Times New Roman" w:hAnsi="Times New Roman"/>
                <w:sz w:val="22"/>
              </w:rPr>
            </w:pPr>
            <w:r>
              <w:rPr>
                <w:rFonts w:ascii="Times New Roman" w:hAnsi="Times New Roman"/>
                <w:sz w:val="22"/>
              </w:rPr>
              <w:t>研发经费占比</w:t>
            </w:r>
          </w:p>
          <w:p w14:paraId="0FEEAF6F">
            <w:pPr>
              <w:spacing w:line="300" w:lineRule="exact"/>
              <w:ind w:firstLine="220" w:firstLineChars="100"/>
              <w:rPr>
                <w:rFonts w:ascii="Times New Roman" w:hAnsi="Times New Roman"/>
                <w:sz w:val="22"/>
              </w:rPr>
            </w:pPr>
            <w:r>
              <w:rPr>
                <w:rFonts w:ascii="Times New Roman" w:hAnsi="Times New Roman"/>
                <w:sz w:val="22"/>
              </w:rPr>
              <w:t>（10分）</w:t>
            </w:r>
          </w:p>
        </w:tc>
        <w:tc>
          <w:tcPr>
            <w:tcW w:w="4961" w:type="dxa"/>
            <w:tcBorders>
              <w:top w:val="nil"/>
              <w:left w:val="nil"/>
              <w:bottom w:val="single" w:color="auto" w:sz="4" w:space="0"/>
              <w:right w:val="single" w:color="auto" w:sz="4" w:space="0"/>
            </w:tcBorders>
            <w:vAlign w:val="center"/>
          </w:tcPr>
          <w:p w14:paraId="5A6B995F">
            <w:pPr>
              <w:spacing w:line="300" w:lineRule="exact"/>
              <w:rPr>
                <w:rFonts w:ascii="Times New Roman" w:hAnsi="Times New Roman"/>
                <w:color w:val="000000"/>
                <w:sz w:val="22"/>
              </w:rPr>
            </w:pPr>
            <w:r>
              <w:rPr>
                <w:rFonts w:hint="eastAsia" w:ascii="Times New Roman" w:hAnsi="Times New Roman"/>
                <w:color w:val="000000"/>
                <w:sz w:val="22"/>
              </w:rPr>
              <w:t>近三年</w:t>
            </w:r>
            <w:r>
              <w:rPr>
                <w:rFonts w:ascii="Times New Roman" w:hAnsi="Times New Roman"/>
                <w:color w:val="000000"/>
                <w:sz w:val="22"/>
              </w:rPr>
              <w:t>企业研发投入占本年度营业收入比例</w:t>
            </w:r>
            <w:r>
              <w:rPr>
                <w:rFonts w:hint="eastAsia" w:ascii="Times New Roman" w:hAnsi="Times New Roman"/>
                <w:color w:val="000000"/>
                <w:sz w:val="22"/>
              </w:rPr>
              <w:t>的平均值</w:t>
            </w:r>
          </w:p>
        </w:tc>
        <w:tc>
          <w:tcPr>
            <w:tcW w:w="4804" w:type="dxa"/>
            <w:tcBorders>
              <w:top w:val="nil"/>
              <w:left w:val="nil"/>
              <w:bottom w:val="single" w:color="auto" w:sz="4" w:space="0"/>
              <w:right w:val="single" w:color="auto" w:sz="4" w:space="0"/>
            </w:tcBorders>
            <w:noWrap/>
            <w:vAlign w:val="center"/>
          </w:tcPr>
          <w:p w14:paraId="6500E9CA">
            <w:pPr>
              <w:spacing w:line="300" w:lineRule="exact"/>
              <w:rPr>
                <w:rFonts w:ascii="Times New Roman" w:hAnsi="Times New Roman"/>
                <w:color w:val="000000"/>
                <w:sz w:val="22"/>
              </w:rPr>
            </w:pPr>
            <w:r>
              <w:rPr>
                <w:rFonts w:ascii="Times New Roman" w:hAnsi="Times New Roman"/>
                <w:color w:val="000000"/>
                <w:sz w:val="22"/>
              </w:rPr>
              <w:t>根据</w:t>
            </w:r>
            <w:r>
              <w:rPr>
                <w:rFonts w:hint="eastAsia" w:ascii="Times New Roman" w:hAnsi="Times New Roman"/>
                <w:color w:val="000000"/>
                <w:sz w:val="22"/>
              </w:rPr>
              <w:t>研发经费排名情况</w:t>
            </w:r>
            <w:r>
              <w:rPr>
                <w:rFonts w:ascii="Times New Roman" w:hAnsi="Times New Roman"/>
                <w:color w:val="000000"/>
                <w:sz w:val="22"/>
              </w:rPr>
              <w:t>赋分</w:t>
            </w:r>
            <w:r>
              <w:rPr>
                <w:rFonts w:hint="eastAsia" w:ascii="Times New Roman" w:hAnsi="Times New Roman"/>
                <w:color w:val="000000"/>
                <w:sz w:val="22"/>
              </w:rPr>
              <w:t>，位次列9</w:t>
            </w:r>
            <w:r>
              <w:rPr>
                <w:rFonts w:ascii="Times New Roman" w:hAnsi="Times New Roman"/>
                <w:color w:val="000000"/>
                <w:sz w:val="22"/>
              </w:rPr>
              <w:t>0%</w:t>
            </w:r>
            <w:r>
              <w:rPr>
                <w:rFonts w:hint="eastAsia" w:ascii="Times New Roman" w:hAnsi="Times New Roman"/>
                <w:color w:val="000000"/>
                <w:sz w:val="22"/>
              </w:rPr>
              <w:t>分位数及以上的得</w:t>
            </w:r>
            <w:r>
              <w:rPr>
                <w:rFonts w:ascii="Times New Roman" w:hAnsi="Times New Roman"/>
                <w:color w:val="000000"/>
                <w:sz w:val="22"/>
              </w:rPr>
              <w:t>10</w:t>
            </w:r>
            <w:r>
              <w:rPr>
                <w:rFonts w:hint="eastAsia" w:ascii="Times New Roman" w:hAnsi="Times New Roman"/>
                <w:color w:val="000000"/>
                <w:sz w:val="22"/>
              </w:rPr>
              <w:t>分，位次每下降1</w:t>
            </w:r>
            <w:r>
              <w:rPr>
                <w:rFonts w:ascii="Times New Roman" w:hAnsi="Times New Roman"/>
                <w:color w:val="000000"/>
                <w:sz w:val="22"/>
              </w:rPr>
              <w:t>0%</w:t>
            </w:r>
            <w:r>
              <w:rPr>
                <w:rFonts w:hint="eastAsia" w:ascii="Times New Roman" w:hAnsi="Times New Roman"/>
                <w:color w:val="000000"/>
                <w:sz w:val="22"/>
              </w:rPr>
              <w:t>分位数扣1分。</w:t>
            </w:r>
          </w:p>
        </w:tc>
        <w:tc>
          <w:tcPr>
            <w:tcW w:w="1688" w:type="dxa"/>
            <w:tcBorders>
              <w:top w:val="nil"/>
              <w:left w:val="nil"/>
              <w:bottom w:val="single" w:color="auto" w:sz="4" w:space="0"/>
              <w:right w:val="single" w:color="auto" w:sz="4" w:space="0"/>
            </w:tcBorders>
            <w:vAlign w:val="center"/>
          </w:tcPr>
          <w:p w14:paraId="6CEE54D9">
            <w:pPr>
              <w:spacing w:line="300" w:lineRule="exact"/>
              <w:rPr>
                <w:rFonts w:ascii="Times New Roman" w:hAnsi="Times New Roman"/>
                <w:color w:val="000000"/>
                <w:sz w:val="22"/>
              </w:rPr>
            </w:pPr>
            <w:r>
              <w:rPr>
                <w:rFonts w:ascii="Times New Roman" w:hAnsi="Times New Roman"/>
                <w:color w:val="000000"/>
                <w:sz w:val="22"/>
              </w:rPr>
              <w:t>1.申报材料</w:t>
            </w:r>
          </w:p>
          <w:p w14:paraId="7E67B2B6">
            <w:pPr>
              <w:spacing w:line="300" w:lineRule="exact"/>
              <w:rPr>
                <w:rFonts w:ascii="Times New Roman" w:hAnsi="Times New Roman"/>
                <w:color w:val="000000"/>
                <w:sz w:val="22"/>
              </w:rPr>
            </w:pPr>
            <w:r>
              <w:rPr>
                <w:rFonts w:ascii="Times New Roman" w:hAnsi="Times New Roman"/>
                <w:color w:val="000000"/>
                <w:sz w:val="22"/>
              </w:rPr>
              <w:t>2.审计报告</w:t>
            </w:r>
          </w:p>
        </w:tc>
        <w:tc>
          <w:tcPr>
            <w:tcW w:w="1128" w:type="dxa"/>
            <w:tcBorders>
              <w:top w:val="nil"/>
              <w:left w:val="nil"/>
              <w:bottom w:val="single" w:color="auto" w:sz="4" w:space="0"/>
              <w:right w:val="single" w:color="auto" w:sz="4" w:space="0"/>
            </w:tcBorders>
            <w:noWrap/>
            <w:vAlign w:val="center"/>
          </w:tcPr>
          <w:p w14:paraId="3FF551F5">
            <w:pPr>
              <w:spacing w:line="300" w:lineRule="exact"/>
              <w:rPr>
                <w:rFonts w:ascii="Times New Roman" w:hAnsi="Times New Roman"/>
                <w:color w:val="000000"/>
                <w:sz w:val="22"/>
              </w:rPr>
            </w:pPr>
          </w:p>
        </w:tc>
      </w:tr>
      <w:tr w14:paraId="0AFBE65F">
        <w:tblPrEx>
          <w:tblCellMar>
            <w:top w:w="0" w:type="dxa"/>
            <w:left w:w="108" w:type="dxa"/>
            <w:bottom w:w="0" w:type="dxa"/>
            <w:right w:w="108" w:type="dxa"/>
          </w:tblCellMar>
        </w:tblPrEx>
        <w:trPr>
          <w:trHeight w:val="86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14:paraId="304BBC24">
            <w:pPr>
              <w:spacing w:line="300" w:lineRule="exact"/>
              <w:rPr>
                <w:rFonts w:ascii="Times New Roman" w:hAnsi="Times New Roman"/>
                <w:sz w:val="22"/>
              </w:rPr>
            </w:pPr>
          </w:p>
        </w:tc>
        <w:tc>
          <w:tcPr>
            <w:tcW w:w="1545" w:type="dxa"/>
            <w:tcBorders>
              <w:top w:val="nil"/>
              <w:left w:val="nil"/>
              <w:bottom w:val="single" w:color="auto" w:sz="4" w:space="0"/>
              <w:right w:val="single" w:color="auto" w:sz="4" w:space="0"/>
            </w:tcBorders>
            <w:vAlign w:val="center"/>
          </w:tcPr>
          <w:p w14:paraId="046FB5B0">
            <w:pPr>
              <w:spacing w:line="300" w:lineRule="exact"/>
              <w:rPr>
                <w:rFonts w:ascii="Times New Roman" w:hAnsi="Times New Roman"/>
                <w:sz w:val="22"/>
              </w:rPr>
            </w:pPr>
            <w:r>
              <w:rPr>
                <w:rFonts w:ascii="Times New Roman" w:hAnsi="Times New Roman"/>
                <w:sz w:val="22"/>
              </w:rPr>
              <w:t>知识产权数量</w:t>
            </w:r>
          </w:p>
          <w:p w14:paraId="0401E2D2">
            <w:pPr>
              <w:spacing w:line="300" w:lineRule="exact"/>
              <w:rPr>
                <w:rFonts w:ascii="Times New Roman" w:hAnsi="Times New Roman"/>
                <w:sz w:val="22"/>
              </w:rPr>
            </w:pPr>
            <w:r>
              <w:rPr>
                <w:rFonts w:ascii="Times New Roman" w:hAnsi="Times New Roman"/>
                <w:sz w:val="22"/>
              </w:rPr>
              <w:t>（10分）</w:t>
            </w:r>
          </w:p>
        </w:tc>
        <w:tc>
          <w:tcPr>
            <w:tcW w:w="4961" w:type="dxa"/>
            <w:tcBorders>
              <w:top w:val="nil"/>
              <w:left w:val="nil"/>
              <w:bottom w:val="single" w:color="auto" w:sz="4" w:space="0"/>
              <w:right w:val="single" w:color="auto" w:sz="4" w:space="0"/>
            </w:tcBorders>
            <w:vAlign w:val="center"/>
          </w:tcPr>
          <w:p w14:paraId="03A51A57">
            <w:pPr>
              <w:spacing w:line="300" w:lineRule="exact"/>
              <w:rPr>
                <w:rFonts w:ascii="Times New Roman" w:hAnsi="Times New Roman"/>
                <w:color w:val="000000"/>
                <w:sz w:val="22"/>
              </w:rPr>
            </w:pPr>
            <w:r>
              <w:rPr>
                <w:rFonts w:hint="eastAsia" w:ascii="Times New Roman" w:hAnsi="Times New Roman"/>
                <w:color w:val="000000"/>
                <w:sz w:val="22"/>
              </w:rPr>
              <w:t>近三年</w:t>
            </w:r>
            <w:r>
              <w:rPr>
                <w:rFonts w:ascii="Times New Roman" w:hAnsi="Times New Roman"/>
                <w:color w:val="000000"/>
                <w:sz w:val="22"/>
              </w:rPr>
              <w:t>与企业主导产品有关的</w:t>
            </w:r>
            <w:r>
              <w:rPr>
                <w:rFonts w:hint="eastAsia" w:ascii="Times New Roman" w:hAnsi="Times New Roman"/>
                <w:color w:val="000000"/>
                <w:sz w:val="22"/>
              </w:rPr>
              <w:t>发明专利授权</w:t>
            </w:r>
            <w:r>
              <w:rPr>
                <w:rFonts w:ascii="Times New Roman" w:hAnsi="Times New Roman"/>
                <w:color w:val="000000"/>
                <w:sz w:val="22"/>
              </w:rPr>
              <w:t>数量</w:t>
            </w:r>
          </w:p>
        </w:tc>
        <w:tc>
          <w:tcPr>
            <w:tcW w:w="4804" w:type="dxa"/>
            <w:tcBorders>
              <w:top w:val="nil"/>
              <w:left w:val="nil"/>
              <w:bottom w:val="single" w:color="auto" w:sz="4" w:space="0"/>
              <w:right w:val="single" w:color="auto" w:sz="4" w:space="0"/>
            </w:tcBorders>
            <w:noWrap/>
            <w:vAlign w:val="center"/>
          </w:tcPr>
          <w:p w14:paraId="658029E4">
            <w:pPr>
              <w:spacing w:line="300" w:lineRule="exact"/>
              <w:rPr>
                <w:rFonts w:ascii="Times New Roman" w:hAnsi="Times New Roman"/>
                <w:color w:val="000000"/>
                <w:sz w:val="22"/>
              </w:rPr>
            </w:pPr>
            <w:r>
              <w:rPr>
                <w:rFonts w:hint="eastAsia" w:ascii="Times New Roman" w:hAnsi="Times New Roman"/>
                <w:color w:val="000000"/>
                <w:sz w:val="22"/>
              </w:rPr>
              <w:t>近三年来发明专利授权</w:t>
            </w:r>
            <w:r>
              <w:rPr>
                <w:rFonts w:ascii="Times New Roman" w:hAnsi="Times New Roman"/>
                <w:color w:val="000000"/>
                <w:sz w:val="22"/>
              </w:rPr>
              <w:t>数量</w:t>
            </w:r>
            <w:r>
              <w:rPr>
                <w:rFonts w:hint="eastAsia" w:ascii="Times New Roman" w:hAnsi="Times New Roman"/>
                <w:color w:val="000000"/>
                <w:sz w:val="22"/>
              </w:rPr>
              <w:t>达</w:t>
            </w:r>
            <w:r>
              <w:rPr>
                <w:rFonts w:ascii="Times New Roman" w:hAnsi="Times New Roman"/>
                <w:color w:val="000000"/>
                <w:sz w:val="22"/>
              </w:rPr>
              <w:t>5</w:t>
            </w:r>
            <w:r>
              <w:rPr>
                <w:rFonts w:hint="eastAsia" w:ascii="Times New Roman" w:hAnsi="Times New Roman"/>
                <w:color w:val="000000"/>
                <w:sz w:val="22"/>
              </w:rPr>
              <w:t>项及以上的得满分，每少1项扣2分，没有不得分</w:t>
            </w:r>
            <w:r>
              <w:rPr>
                <w:rFonts w:ascii="Times New Roman" w:hAnsi="Times New Roman"/>
                <w:color w:val="000000"/>
                <w:sz w:val="22"/>
              </w:rPr>
              <w:t>。</w:t>
            </w:r>
          </w:p>
        </w:tc>
        <w:tc>
          <w:tcPr>
            <w:tcW w:w="1688" w:type="dxa"/>
            <w:tcBorders>
              <w:top w:val="nil"/>
              <w:left w:val="nil"/>
              <w:bottom w:val="single" w:color="auto" w:sz="4" w:space="0"/>
              <w:right w:val="single" w:color="auto" w:sz="4" w:space="0"/>
            </w:tcBorders>
            <w:vAlign w:val="center"/>
          </w:tcPr>
          <w:p w14:paraId="2D2BEA90">
            <w:pPr>
              <w:spacing w:line="300" w:lineRule="exact"/>
              <w:rPr>
                <w:rFonts w:ascii="Times New Roman" w:hAnsi="Times New Roman"/>
                <w:color w:val="000000"/>
                <w:sz w:val="22"/>
              </w:rPr>
            </w:pPr>
            <w:r>
              <w:rPr>
                <w:rFonts w:ascii="Times New Roman" w:hAnsi="Times New Roman"/>
                <w:color w:val="000000"/>
                <w:sz w:val="22"/>
              </w:rPr>
              <w:t>1.申报材料</w:t>
            </w:r>
            <w:r>
              <w:br w:type="textWrapping"/>
            </w:r>
            <w:r>
              <w:rPr>
                <w:rFonts w:ascii="Times New Roman" w:hAnsi="Times New Roman"/>
                <w:color w:val="000000"/>
                <w:sz w:val="22"/>
              </w:rPr>
              <w:t>2.证明材料</w:t>
            </w:r>
          </w:p>
        </w:tc>
        <w:tc>
          <w:tcPr>
            <w:tcW w:w="1128" w:type="dxa"/>
            <w:tcBorders>
              <w:top w:val="nil"/>
              <w:left w:val="nil"/>
              <w:bottom w:val="single" w:color="auto" w:sz="4" w:space="0"/>
              <w:right w:val="single" w:color="auto" w:sz="4" w:space="0"/>
            </w:tcBorders>
            <w:noWrap/>
            <w:vAlign w:val="center"/>
          </w:tcPr>
          <w:p w14:paraId="0FAEE7DD">
            <w:pPr>
              <w:spacing w:line="300" w:lineRule="exact"/>
              <w:rPr>
                <w:rFonts w:ascii="Times New Roman" w:hAnsi="Times New Roman"/>
                <w:color w:val="000000"/>
                <w:sz w:val="22"/>
              </w:rPr>
            </w:pPr>
          </w:p>
        </w:tc>
      </w:tr>
      <w:tr w14:paraId="0BA68105">
        <w:tblPrEx>
          <w:tblCellMar>
            <w:top w:w="0" w:type="dxa"/>
            <w:left w:w="108" w:type="dxa"/>
            <w:bottom w:w="0" w:type="dxa"/>
            <w:right w:w="108" w:type="dxa"/>
          </w:tblCellMar>
        </w:tblPrEx>
        <w:trPr>
          <w:trHeight w:val="560"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14:paraId="378C817B">
            <w:pPr>
              <w:spacing w:line="300" w:lineRule="exact"/>
              <w:rPr>
                <w:rFonts w:ascii="Times New Roman" w:hAnsi="Times New Roman"/>
                <w:sz w:val="22"/>
              </w:rPr>
            </w:pPr>
          </w:p>
        </w:tc>
        <w:tc>
          <w:tcPr>
            <w:tcW w:w="1545" w:type="dxa"/>
            <w:tcBorders>
              <w:top w:val="nil"/>
              <w:left w:val="nil"/>
              <w:bottom w:val="single" w:color="auto" w:sz="4" w:space="0"/>
              <w:right w:val="single" w:color="auto" w:sz="4" w:space="0"/>
            </w:tcBorders>
            <w:vAlign w:val="center"/>
          </w:tcPr>
          <w:p w14:paraId="4179EADA">
            <w:pPr>
              <w:spacing w:line="300" w:lineRule="exact"/>
              <w:ind w:firstLine="220" w:firstLineChars="100"/>
              <w:rPr>
                <w:rFonts w:ascii="Times New Roman" w:hAnsi="Times New Roman"/>
                <w:sz w:val="22"/>
              </w:rPr>
            </w:pPr>
            <w:r>
              <w:rPr>
                <w:rFonts w:hint="eastAsia" w:ascii="Times New Roman" w:hAnsi="Times New Roman"/>
                <w:sz w:val="22"/>
              </w:rPr>
              <w:t>企业</w:t>
            </w:r>
            <w:r>
              <w:rPr>
                <w:rFonts w:ascii="Times New Roman" w:hAnsi="Times New Roman"/>
                <w:sz w:val="22"/>
              </w:rPr>
              <w:t>称号</w:t>
            </w:r>
          </w:p>
          <w:p w14:paraId="71455823">
            <w:pPr>
              <w:spacing w:line="300" w:lineRule="exact"/>
              <w:ind w:firstLine="220" w:firstLineChars="100"/>
              <w:rPr>
                <w:rFonts w:ascii="Times New Roman" w:hAnsi="Times New Roman"/>
                <w:sz w:val="22"/>
              </w:rPr>
            </w:pPr>
            <w:r>
              <w:rPr>
                <w:rFonts w:ascii="Times New Roman" w:hAnsi="Times New Roman"/>
                <w:sz w:val="22"/>
              </w:rPr>
              <w:t>（25分）</w:t>
            </w:r>
          </w:p>
        </w:tc>
        <w:tc>
          <w:tcPr>
            <w:tcW w:w="4961" w:type="dxa"/>
            <w:tcBorders>
              <w:top w:val="nil"/>
              <w:left w:val="nil"/>
              <w:bottom w:val="single" w:color="auto" w:sz="4" w:space="0"/>
              <w:right w:val="single" w:color="auto" w:sz="4" w:space="0"/>
            </w:tcBorders>
            <w:vAlign w:val="center"/>
          </w:tcPr>
          <w:p w14:paraId="1657FAE9">
            <w:pPr>
              <w:spacing w:line="300" w:lineRule="exact"/>
              <w:rPr>
                <w:rFonts w:ascii="Times New Roman" w:hAnsi="Times New Roman"/>
                <w:color w:val="000000"/>
                <w:sz w:val="22"/>
              </w:rPr>
            </w:pPr>
            <w:r>
              <w:rPr>
                <w:rFonts w:ascii="Times New Roman" w:hAnsi="Times New Roman"/>
                <w:color w:val="000000"/>
                <w:sz w:val="22"/>
              </w:rPr>
              <w:t>企业</w:t>
            </w:r>
            <w:r>
              <w:rPr>
                <w:rFonts w:hint="eastAsia" w:ascii="Times New Roman" w:hAnsi="Times New Roman"/>
                <w:color w:val="000000"/>
                <w:sz w:val="22"/>
              </w:rPr>
              <w:t>获</w:t>
            </w:r>
            <w:r>
              <w:rPr>
                <w:rFonts w:ascii="Times New Roman" w:hAnsi="Times New Roman"/>
                <w:color w:val="000000"/>
                <w:sz w:val="22"/>
              </w:rPr>
              <w:t>单项称号情况</w:t>
            </w:r>
          </w:p>
        </w:tc>
        <w:tc>
          <w:tcPr>
            <w:tcW w:w="4804" w:type="dxa"/>
            <w:tcBorders>
              <w:top w:val="nil"/>
              <w:left w:val="nil"/>
              <w:bottom w:val="single" w:color="auto" w:sz="4" w:space="0"/>
              <w:right w:val="single" w:color="auto" w:sz="4" w:space="0"/>
            </w:tcBorders>
            <w:noWrap/>
            <w:vAlign w:val="center"/>
          </w:tcPr>
          <w:p w14:paraId="7EF29D51">
            <w:pPr>
              <w:spacing w:line="300" w:lineRule="exact"/>
              <w:rPr>
                <w:rFonts w:ascii="Times New Roman" w:hAnsi="Times New Roman"/>
                <w:color w:val="000000"/>
                <w:sz w:val="22"/>
              </w:rPr>
            </w:pPr>
            <w:r>
              <w:rPr>
                <w:rFonts w:ascii="Times New Roman" w:hAnsi="Times New Roman"/>
                <w:color w:val="000000"/>
                <w:sz w:val="22"/>
              </w:rPr>
              <w:t>获国家级“制造业单项冠军”、国家级“专精特新”小巨人企业</w:t>
            </w:r>
            <w:r>
              <w:rPr>
                <w:rFonts w:hint="eastAsia" w:ascii="Times New Roman" w:hAnsi="Times New Roman"/>
                <w:color w:val="000000"/>
                <w:sz w:val="22"/>
              </w:rPr>
              <w:t>、国家技术创新示范企业、卓越级智能工厂、独角兽企业、瞪羚企业</w:t>
            </w:r>
            <w:r>
              <w:rPr>
                <w:rFonts w:ascii="Times New Roman" w:hAnsi="Times New Roman"/>
                <w:color w:val="000000"/>
                <w:sz w:val="22"/>
              </w:rPr>
              <w:t>等</w:t>
            </w:r>
            <w:r>
              <w:rPr>
                <w:rFonts w:hint="eastAsia" w:ascii="Times New Roman" w:hAnsi="Times New Roman"/>
                <w:color w:val="000000"/>
                <w:sz w:val="22"/>
              </w:rPr>
              <w:t>称号</w:t>
            </w:r>
            <w:r>
              <w:rPr>
                <w:rFonts w:ascii="Times New Roman" w:hAnsi="Times New Roman"/>
                <w:color w:val="000000"/>
                <w:sz w:val="22"/>
              </w:rPr>
              <w:t>之一的得满分，</w:t>
            </w:r>
            <w:r>
              <w:rPr>
                <w:rFonts w:hint="eastAsia" w:ascii="Times New Roman" w:hAnsi="Times New Roman"/>
                <w:color w:val="000000"/>
                <w:sz w:val="22"/>
              </w:rPr>
              <w:t>否则</w:t>
            </w:r>
            <w:r>
              <w:rPr>
                <w:rFonts w:ascii="Times New Roman" w:hAnsi="Times New Roman"/>
                <w:color w:val="000000"/>
                <w:sz w:val="22"/>
              </w:rPr>
              <w:t>不得分。</w:t>
            </w:r>
          </w:p>
        </w:tc>
        <w:tc>
          <w:tcPr>
            <w:tcW w:w="1688" w:type="dxa"/>
            <w:tcBorders>
              <w:top w:val="nil"/>
              <w:left w:val="nil"/>
              <w:bottom w:val="single" w:color="auto" w:sz="4" w:space="0"/>
              <w:right w:val="single" w:color="auto" w:sz="4" w:space="0"/>
            </w:tcBorders>
            <w:vAlign w:val="center"/>
          </w:tcPr>
          <w:p w14:paraId="7049D3F5">
            <w:pPr>
              <w:spacing w:line="300" w:lineRule="exact"/>
              <w:rPr>
                <w:rFonts w:ascii="Times New Roman" w:hAnsi="Times New Roman"/>
                <w:color w:val="000000"/>
                <w:sz w:val="22"/>
              </w:rPr>
            </w:pPr>
            <w:r>
              <w:rPr>
                <w:rFonts w:ascii="Times New Roman" w:hAnsi="Times New Roman"/>
                <w:color w:val="000000"/>
                <w:sz w:val="22"/>
              </w:rPr>
              <w:t>1.申报材料</w:t>
            </w:r>
            <w:r>
              <w:br w:type="textWrapping"/>
            </w:r>
            <w:r>
              <w:rPr>
                <w:rFonts w:ascii="Times New Roman" w:hAnsi="Times New Roman"/>
                <w:color w:val="000000"/>
                <w:sz w:val="22"/>
              </w:rPr>
              <w:t>2.证明材料</w:t>
            </w:r>
          </w:p>
        </w:tc>
        <w:tc>
          <w:tcPr>
            <w:tcW w:w="1128" w:type="dxa"/>
            <w:tcBorders>
              <w:top w:val="nil"/>
              <w:left w:val="nil"/>
              <w:bottom w:val="single" w:color="auto" w:sz="4" w:space="0"/>
              <w:right w:val="single" w:color="auto" w:sz="4" w:space="0"/>
            </w:tcBorders>
            <w:noWrap/>
            <w:vAlign w:val="center"/>
          </w:tcPr>
          <w:p w14:paraId="4CFF990D">
            <w:pPr>
              <w:spacing w:line="300" w:lineRule="exact"/>
              <w:rPr>
                <w:rFonts w:ascii="Times New Roman" w:hAnsi="Times New Roman"/>
                <w:color w:val="000000"/>
                <w:sz w:val="22"/>
              </w:rPr>
            </w:pPr>
          </w:p>
        </w:tc>
      </w:tr>
      <w:tr w14:paraId="7F773898">
        <w:tblPrEx>
          <w:tblCellMar>
            <w:top w:w="0" w:type="dxa"/>
            <w:left w:w="108" w:type="dxa"/>
            <w:bottom w:w="0" w:type="dxa"/>
            <w:right w:w="108" w:type="dxa"/>
          </w:tblCellMar>
        </w:tblPrEx>
        <w:trPr>
          <w:trHeight w:val="1023" w:hRule="atLeast"/>
          <w:jc w:val="center"/>
        </w:trPr>
        <w:tc>
          <w:tcPr>
            <w:tcW w:w="1144" w:type="dxa"/>
            <w:tcBorders>
              <w:top w:val="single" w:color="auto" w:sz="4" w:space="0"/>
              <w:left w:val="single" w:color="auto" w:sz="4" w:space="0"/>
              <w:bottom w:val="single" w:color="auto" w:sz="4" w:space="0"/>
              <w:right w:val="single" w:color="auto" w:sz="4" w:space="0"/>
            </w:tcBorders>
            <w:vAlign w:val="center"/>
          </w:tcPr>
          <w:p w14:paraId="24BA95A8">
            <w:pPr>
              <w:spacing w:line="300" w:lineRule="exact"/>
              <w:jc w:val="center"/>
              <w:rPr>
                <w:rFonts w:ascii="Times New Roman" w:hAnsi="Times New Roman"/>
                <w:sz w:val="22"/>
              </w:rPr>
            </w:pPr>
            <w:r>
              <w:rPr>
                <w:rFonts w:ascii="Times New Roman" w:hAnsi="Times New Roman"/>
                <w:sz w:val="22"/>
              </w:rPr>
              <w:t>诚信经营</w:t>
            </w:r>
          </w:p>
          <w:p w14:paraId="5E34AE5A">
            <w:pPr>
              <w:spacing w:line="300" w:lineRule="exact"/>
              <w:jc w:val="center"/>
              <w:rPr>
                <w:rFonts w:ascii="Times New Roman" w:hAnsi="Times New Roman"/>
                <w:sz w:val="22"/>
              </w:rPr>
            </w:pPr>
            <w:r>
              <w:rPr>
                <w:rFonts w:ascii="Times New Roman" w:hAnsi="Times New Roman"/>
                <w:sz w:val="22"/>
              </w:rPr>
              <w:t>（10分）</w:t>
            </w:r>
          </w:p>
        </w:tc>
        <w:tc>
          <w:tcPr>
            <w:tcW w:w="1545" w:type="dxa"/>
            <w:tcBorders>
              <w:top w:val="nil"/>
              <w:left w:val="nil"/>
              <w:bottom w:val="single" w:color="auto" w:sz="4" w:space="0"/>
              <w:right w:val="single" w:color="auto" w:sz="4" w:space="0"/>
            </w:tcBorders>
            <w:vAlign w:val="center"/>
          </w:tcPr>
          <w:p w14:paraId="72BBB062">
            <w:pPr>
              <w:spacing w:line="300" w:lineRule="exact"/>
              <w:jc w:val="center"/>
              <w:rPr>
                <w:rFonts w:ascii="Times New Roman" w:hAnsi="Times New Roman"/>
                <w:sz w:val="22"/>
              </w:rPr>
            </w:pPr>
            <w:r>
              <w:rPr>
                <w:rFonts w:ascii="Times New Roman" w:hAnsi="Times New Roman"/>
                <w:sz w:val="22"/>
              </w:rPr>
              <w:t>无严重诚信不良记录，未发生重大安全质量事故和环境违法行为</w:t>
            </w:r>
          </w:p>
        </w:tc>
        <w:tc>
          <w:tcPr>
            <w:tcW w:w="4961" w:type="dxa"/>
            <w:tcBorders>
              <w:top w:val="nil"/>
              <w:left w:val="nil"/>
              <w:bottom w:val="single" w:color="auto" w:sz="4" w:space="0"/>
              <w:right w:val="single" w:color="auto" w:sz="4" w:space="0"/>
            </w:tcBorders>
            <w:vAlign w:val="center"/>
          </w:tcPr>
          <w:p w14:paraId="53CFC8AC">
            <w:pPr>
              <w:spacing w:line="300" w:lineRule="exact"/>
              <w:rPr>
                <w:rFonts w:ascii="Times New Roman" w:hAnsi="Times New Roman"/>
                <w:color w:val="000000"/>
                <w:sz w:val="22"/>
              </w:rPr>
            </w:pPr>
            <w:r>
              <w:rPr>
                <w:rFonts w:ascii="Times New Roman" w:hAnsi="Times New Roman"/>
                <w:color w:val="000000"/>
                <w:sz w:val="22"/>
              </w:rPr>
              <w:t>工商、税收、土地、环保、海关信用以及遵守其他法律、行政法规等情况良好，无严重违法记录，无重大安全、环保、质量事故。</w:t>
            </w:r>
          </w:p>
        </w:tc>
        <w:tc>
          <w:tcPr>
            <w:tcW w:w="4804" w:type="dxa"/>
            <w:tcBorders>
              <w:top w:val="nil"/>
              <w:left w:val="nil"/>
              <w:bottom w:val="single" w:color="auto" w:sz="4" w:space="0"/>
              <w:right w:val="single" w:color="auto" w:sz="4" w:space="0"/>
            </w:tcBorders>
            <w:noWrap/>
            <w:vAlign w:val="center"/>
          </w:tcPr>
          <w:p w14:paraId="67282C4A">
            <w:pPr>
              <w:spacing w:line="300" w:lineRule="exact"/>
              <w:rPr>
                <w:rFonts w:ascii="Times New Roman" w:hAnsi="Times New Roman"/>
                <w:color w:val="000000"/>
                <w:sz w:val="22"/>
              </w:rPr>
            </w:pPr>
            <w:r>
              <w:rPr>
                <w:rFonts w:ascii="Times New Roman" w:hAnsi="Times New Roman"/>
                <w:color w:val="000000"/>
                <w:sz w:val="22"/>
              </w:rPr>
              <w:t>根据实际情况酌情赋分，有严重诚信不良记录的一票否决。</w:t>
            </w:r>
          </w:p>
        </w:tc>
        <w:tc>
          <w:tcPr>
            <w:tcW w:w="1688" w:type="dxa"/>
            <w:tcBorders>
              <w:top w:val="nil"/>
              <w:left w:val="nil"/>
              <w:bottom w:val="single" w:color="auto" w:sz="4" w:space="0"/>
              <w:right w:val="single" w:color="auto" w:sz="4" w:space="0"/>
            </w:tcBorders>
            <w:vAlign w:val="center"/>
          </w:tcPr>
          <w:p w14:paraId="48043718">
            <w:pPr>
              <w:spacing w:line="300" w:lineRule="exact"/>
              <w:rPr>
                <w:rFonts w:ascii="Times New Roman" w:hAnsi="Times New Roman"/>
                <w:color w:val="000000"/>
                <w:sz w:val="22"/>
              </w:rPr>
            </w:pPr>
            <w:r>
              <w:rPr>
                <w:rFonts w:ascii="Times New Roman" w:hAnsi="Times New Roman"/>
                <w:color w:val="000000"/>
                <w:sz w:val="22"/>
              </w:rPr>
              <w:t>1.申报材料</w:t>
            </w:r>
            <w:r>
              <w:br w:type="textWrapping"/>
            </w:r>
            <w:r>
              <w:rPr>
                <w:rFonts w:ascii="Times New Roman" w:hAnsi="Times New Roman"/>
                <w:color w:val="000000"/>
                <w:sz w:val="22"/>
              </w:rPr>
              <w:t>2.证明材料</w:t>
            </w:r>
          </w:p>
        </w:tc>
        <w:tc>
          <w:tcPr>
            <w:tcW w:w="1128" w:type="dxa"/>
            <w:tcBorders>
              <w:top w:val="nil"/>
              <w:left w:val="nil"/>
              <w:bottom w:val="single" w:color="auto" w:sz="4" w:space="0"/>
              <w:right w:val="single" w:color="auto" w:sz="4" w:space="0"/>
            </w:tcBorders>
            <w:noWrap/>
            <w:vAlign w:val="center"/>
          </w:tcPr>
          <w:p w14:paraId="770227E9">
            <w:pPr>
              <w:spacing w:line="300" w:lineRule="exact"/>
              <w:rPr>
                <w:rFonts w:ascii="Times New Roman" w:hAnsi="Times New Roman"/>
                <w:color w:val="000000"/>
                <w:sz w:val="22"/>
              </w:rPr>
            </w:pPr>
          </w:p>
        </w:tc>
      </w:tr>
      <w:tr w14:paraId="04C3682D">
        <w:tblPrEx>
          <w:tblCellMar>
            <w:top w:w="0" w:type="dxa"/>
            <w:left w:w="108" w:type="dxa"/>
            <w:bottom w:w="0" w:type="dxa"/>
            <w:right w:w="108" w:type="dxa"/>
          </w:tblCellMar>
        </w:tblPrEx>
        <w:trPr>
          <w:trHeight w:val="551" w:hRule="atLeast"/>
          <w:jc w:val="center"/>
        </w:trPr>
        <w:tc>
          <w:tcPr>
            <w:tcW w:w="2689" w:type="dxa"/>
            <w:gridSpan w:val="2"/>
            <w:tcBorders>
              <w:top w:val="single" w:color="auto" w:sz="4" w:space="0"/>
              <w:left w:val="single" w:color="auto" w:sz="4" w:space="0"/>
              <w:bottom w:val="single" w:color="000000" w:sz="4" w:space="0"/>
              <w:right w:val="single" w:color="auto" w:sz="4" w:space="0"/>
            </w:tcBorders>
            <w:vAlign w:val="center"/>
          </w:tcPr>
          <w:p w14:paraId="23761E34">
            <w:pPr>
              <w:spacing w:line="300" w:lineRule="exact"/>
              <w:jc w:val="center"/>
              <w:rPr>
                <w:rFonts w:ascii="Times New Roman" w:hAnsi="Times New Roman"/>
                <w:b/>
                <w:sz w:val="22"/>
              </w:rPr>
            </w:pPr>
            <w:r>
              <w:rPr>
                <w:rFonts w:ascii="Times New Roman" w:hAnsi="Times New Roman"/>
                <w:b/>
                <w:sz w:val="22"/>
              </w:rPr>
              <w:t>总体意见</w:t>
            </w:r>
          </w:p>
        </w:tc>
        <w:tc>
          <w:tcPr>
            <w:tcW w:w="9765" w:type="dxa"/>
            <w:gridSpan w:val="2"/>
            <w:tcBorders>
              <w:top w:val="single" w:color="auto" w:sz="4" w:space="0"/>
              <w:left w:val="nil"/>
              <w:bottom w:val="single" w:color="auto" w:sz="4" w:space="0"/>
              <w:right w:val="single" w:color="auto" w:sz="4" w:space="0"/>
            </w:tcBorders>
            <w:vAlign w:val="center"/>
          </w:tcPr>
          <w:p w14:paraId="2D115BCC">
            <w:pPr>
              <w:spacing w:line="300" w:lineRule="exact"/>
              <w:rPr>
                <w:rFonts w:ascii="Times New Roman" w:hAnsi="Times New Roman"/>
                <w:sz w:val="22"/>
              </w:rPr>
            </w:pPr>
          </w:p>
        </w:tc>
        <w:tc>
          <w:tcPr>
            <w:tcW w:w="1688" w:type="dxa"/>
            <w:tcBorders>
              <w:top w:val="single" w:color="auto" w:sz="4" w:space="0"/>
              <w:left w:val="nil"/>
              <w:bottom w:val="single" w:color="auto" w:sz="4" w:space="0"/>
              <w:right w:val="single" w:color="auto" w:sz="4" w:space="0"/>
            </w:tcBorders>
            <w:vAlign w:val="center"/>
          </w:tcPr>
          <w:p w14:paraId="0C172B1F">
            <w:pPr>
              <w:spacing w:line="300" w:lineRule="exact"/>
              <w:ind w:firstLine="221" w:firstLineChars="100"/>
              <w:rPr>
                <w:rFonts w:ascii="Times New Roman" w:hAnsi="Times New Roman"/>
                <w:b/>
                <w:sz w:val="22"/>
              </w:rPr>
            </w:pPr>
            <w:r>
              <w:rPr>
                <w:rFonts w:ascii="Times New Roman" w:hAnsi="Times New Roman"/>
                <w:b/>
                <w:sz w:val="22"/>
              </w:rPr>
              <w:t>得分合计</w:t>
            </w:r>
          </w:p>
        </w:tc>
        <w:tc>
          <w:tcPr>
            <w:tcW w:w="1128" w:type="dxa"/>
            <w:tcBorders>
              <w:top w:val="single" w:color="auto" w:sz="4" w:space="0"/>
              <w:left w:val="nil"/>
              <w:bottom w:val="single" w:color="auto" w:sz="4" w:space="0"/>
              <w:right w:val="single" w:color="auto" w:sz="4" w:space="0"/>
            </w:tcBorders>
            <w:noWrap/>
            <w:vAlign w:val="center"/>
          </w:tcPr>
          <w:p w14:paraId="40601BBB">
            <w:pPr>
              <w:spacing w:line="300" w:lineRule="exact"/>
              <w:rPr>
                <w:rFonts w:ascii="Times New Roman" w:hAnsi="Times New Roman"/>
                <w:sz w:val="22"/>
              </w:rPr>
            </w:pPr>
          </w:p>
        </w:tc>
      </w:tr>
    </w:tbl>
    <w:p w14:paraId="1CBDFF55">
      <w:pPr>
        <w:spacing w:before="120" w:after="120"/>
        <w:ind w:left="141" w:leftChars="67"/>
        <w:rPr>
          <w:rFonts w:ascii="Times New Roman" w:hAnsi="Times New Roman"/>
          <w:sz w:val="44"/>
          <w:szCs w:val="44"/>
        </w:rPr>
      </w:pPr>
      <w:r>
        <w:br w:type="page"/>
      </w:r>
      <w:r>
        <w:rPr>
          <w:rFonts w:ascii="Times New Roman" w:hAnsi="Times New Roman"/>
          <w:bCs/>
          <w:kern w:val="0"/>
          <w:sz w:val="30"/>
          <w:szCs w:val="30"/>
        </w:rPr>
        <w:t>附件五</w:t>
      </w:r>
    </w:p>
    <w:p w14:paraId="52AFB937">
      <w:pPr>
        <w:spacing w:after="120"/>
        <w:jc w:val="center"/>
        <w:rPr>
          <w:rFonts w:ascii="Times New Roman" w:hAnsi="Times New Roman" w:eastAsia="方正小标宋简体"/>
          <w:bCs/>
          <w:sz w:val="44"/>
          <w:szCs w:val="44"/>
        </w:rPr>
      </w:pPr>
      <w:r>
        <w:rPr>
          <w:rFonts w:ascii="Times New Roman" w:hAnsi="Times New Roman" w:eastAsia="方正小标宋简体"/>
          <w:bCs/>
          <w:sz w:val="44"/>
          <w:szCs w:val="44"/>
        </w:rPr>
        <w:t>2024年度青岛国际贸易</w:t>
      </w:r>
      <w:r>
        <w:rPr>
          <w:rFonts w:hint="eastAsia" w:ascii="Times New Roman" w:hAnsi="Times New Roman" w:eastAsia="方正小标宋简体"/>
          <w:bCs/>
          <w:sz w:val="44"/>
          <w:szCs w:val="44"/>
        </w:rPr>
        <w:t>先锋</w:t>
      </w:r>
      <w:r>
        <w:rPr>
          <w:rFonts w:ascii="Times New Roman" w:hAnsi="Times New Roman" w:eastAsia="方正小标宋简体"/>
          <w:bCs/>
          <w:sz w:val="44"/>
          <w:szCs w:val="44"/>
        </w:rPr>
        <w:t>企业审查计分表</w:t>
      </w:r>
    </w:p>
    <w:tbl>
      <w:tblPr>
        <w:tblStyle w:val="5"/>
        <w:tblW w:w="152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4"/>
        <w:gridCol w:w="2296"/>
        <w:gridCol w:w="2536"/>
        <w:gridCol w:w="5444"/>
        <w:gridCol w:w="1562"/>
        <w:gridCol w:w="1568"/>
      </w:tblGrid>
      <w:tr w14:paraId="04DD6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blHeader/>
          <w:jc w:val="center"/>
        </w:trPr>
        <w:tc>
          <w:tcPr>
            <w:tcW w:w="1864" w:type="dxa"/>
            <w:tcBorders>
              <w:tl2br w:val="nil"/>
              <w:tr2bl w:val="nil"/>
            </w:tcBorders>
            <w:shd w:val="clear" w:color="auto" w:fill="auto"/>
            <w:vAlign w:val="center"/>
          </w:tcPr>
          <w:p w14:paraId="5AFF6A55">
            <w:pPr>
              <w:widowControl/>
              <w:jc w:val="center"/>
              <w:rPr>
                <w:rFonts w:ascii="Times New Roman" w:hAnsi="Times New Roman"/>
                <w:b/>
                <w:bCs/>
                <w:sz w:val="22"/>
              </w:rPr>
            </w:pPr>
            <w:r>
              <w:rPr>
                <w:rFonts w:hint="eastAsia" w:ascii="Times New Roman" w:hAnsi="Times New Roman"/>
                <w:b/>
                <w:bCs/>
                <w:sz w:val="22"/>
              </w:rPr>
              <w:t>一级指标</w:t>
            </w:r>
          </w:p>
        </w:tc>
        <w:tc>
          <w:tcPr>
            <w:tcW w:w="2297" w:type="dxa"/>
            <w:tcBorders>
              <w:tl2br w:val="nil"/>
              <w:tr2bl w:val="nil"/>
            </w:tcBorders>
            <w:shd w:val="clear" w:color="auto" w:fill="auto"/>
            <w:vAlign w:val="center"/>
          </w:tcPr>
          <w:p w14:paraId="30C0E2CD">
            <w:pPr>
              <w:widowControl/>
              <w:jc w:val="center"/>
              <w:rPr>
                <w:rFonts w:ascii="Times New Roman" w:hAnsi="Times New Roman"/>
                <w:b/>
                <w:bCs/>
                <w:sz w:val="22"/>
              </w:rPr>
            </w:pPr>
            <w:r>
              <w:rPr>
                <w:rFonts w:hint="eastAsia" w:ascii="Times New Roman" w:hAnsi="Times New Roman"/>
                <w:b/>
                <w:bCs/>
                <w:sz w:val="22"/>
              </w:rPr>
              <w:t>二级指标</w:t>
            </w:r>
          </w:p>
        </w:tc>
        <w:tc>
          <w:tcPr>
            <w:tcW w:w="2537" w:type="dxa"/>
            <w:tcBorders>
              <w:tl2br w:val="nil"/>
              <w:tr2bl w:val="nil"/>
            </w:tcBorders>
            <w:shd w:val="clear" w:color="auto" w:fill="auto"/>
            <w:vAlign w:val="center"/>
          </w:tcPr>
          <w:p w14:paraId="0C724DB8">
            <w:pPr>
              <w:widowControl/>
              <w:jc w:val="center"/>
              <w:rPr>
                <w:rFonts w:ascii="Times New Roman" w:hAnsi="Times New Roman"/>
                <w:b/>
                <w:bCs/>
                <w:sz w:val="22"/>
              </w:rPr>
            </w:pPr>
            <w:r>
              <w:rPr>
                <w:rFonts w:hint="eastAsia" w:ascii="Times New Roman" w:hAnsi="Times New Roman"/>
                <w:b/>
                <w:bCs/>
                <w:sz w:val="22"/>
              </w:rPr>
              <w:t>指标解释</w:t>
            </w:r>
          </w:p>
        </w:tc>
        <w:tc>
          <w:tcPr>
            <w:tcW w:w="5444" w:type="dxa"/>
            <w:tcBorders>
              <w:tl2br w:val="nil"/>
              <w:tr2bl w:val="nil"/>
            </w:tcBorders>
            <w:shd w:val="clear" w:color="auto" w:fill="auto"/>
            <w:noWrap/>
            <w:vAlign w:val="center"/>
          </w:tcPr>
          <w:p w14:paraId="43506B72">
            <w:pPr>
              <w:widowControl/>
              <w:jc w:val="center"/>
              <w:rPr>
                <w:rFonts w:ascii="Times New Roman" w:hAnsi="Times New Roman"/>
                <w:b/>
                <w:bCs/>
                <w:sz w:val="22"/>
              </w:rPr>
            </w:pPr>
            <w:r>
              <w:rPr>
                <w:rFonts w:hint="eastAsia" w:ascii="Times New Roman" w:hAnsi="Times New Roman"/>
                <w:b/>
                <w:bCs/>
                <w:sz w:val="22"/>
              </w:rPr>
              <w:t>审查细则</w:t>
            </w:r>
          </w:p>
        </w:tc>
        <w:tc>
          <w:tcPr>
            <w:tcW w:w="1562" w:type="dxa"/>
            <w:tcBorders>
              <w:tl2br w:val="nil"/>
              <w:tr2bl w:val="nil"/>
            </w:tcBorders>
            <w:shd w:val="clear" w:color="auto" w:fill="auto"/>
            <w:vAlign w:val="center"/>
          </w:tcPr>
          <w:p w14:paraId="246BBD7A">
            <w:pPr>
              <w:widowControl/>
              <w:jc w:val="center"/>
              <w:rPr>
                <w:rFonts w:ascii="Times New Roman" w:hAnsi="Times New Roman"/>
                <w:b/>
                <w:bCs/>
                <w:sz w:val="22"/>
              </w:rPr>
            </w:pPr>
            <w:r>
              <w:rPr>
                <w:rFonts w:hint="eastAsia" w:ascii="Times New Roman" w:hAnsi="Times New Roman"/>
                <w:b/>
                <w:bCs/>
                <w:sz w:val="22"/>
              </w:rPr>
              <w:t>审查依据资料</w:t>
            </w:r>
          </w:p>
        </w:tc>
        <w:tc>
          <w:tcPr>
            <w:tcW w:w="1566" w:type="dxa"/>
            <w:tcBorders>
              <w:tl2br w:val="nil"/>
              <w:tr2bl w:val="nil"/>
            </w:tcBorders>
            <w:shd w:val="clear" w:color="auto" w:fill="auto"/>
            <w:vAlign w:val="center"/>
          </w:tcPr>
          <w:p w14:paraId="434E6A26">
            <w:pPr>
              <w:widowControl/>
              <w:jc w:val="center"/>
              <w:rPr>
                <w:rFonts w:ascii="Times New Roman" w:hAnsi="Times New Roman"/>
                <w:b/>
                <w:bCs/>
                <w:sz w:val="22"/>
              </w:rPr>
            </w:pPr>
            <w:r>
              <w:rPr>
                <w:rFonts w:hint="eastAsia" w:ascii="Times New Roman" w:hAnsi="Times New Roman"/>
                <w:b/>
                <w:bCs/>
                <w:sz w:val="22"/>
              </w:rPr>
              <w:t>审查计分</w:t>
            </w:r>
          </w:p>
        </w:tc>
      </w:tr>
      <w:tr w14:paraId="3A0C1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6" w:hRule="atLeast"/>
          <w:jc w:val="center"/>
        </w:trPr>
        <w:tc>
          <w:tcPr>
            <w:tcW w:w="1864" w:type="dxa"/>
            <w:vMerge w:val="restart"/>
            <w:tcBorders>
              <w:tl2br w:val="nil"/>
              <w:tr2bl w:val="nil"/>
            </w:tcBorders>
            <w:shd w:val="clear" w:color="auto" w:fill="auto"/>
            <w:vAlign w:val="center"/>
          </w:tcPr>
          <w:p w14:paraId="64288E13">
            <w:pPr>
              <w:widowControl/>
              <w:jc w:val="center"/>
              <w:rPr>
                <w:rFonts w:ascii="Times New Roman" w:hAnsi="Times New Roman"/>
                <w:color w:val="000000"/>
                <w:sz w:val="22"/>
              </w:rPr>
            </w:pPr>
            <w:r>
              <w:rPr>
                <w:rFonts w:hint="eastAsia" w:ascii="Times New Roman" w:hAnsi="Times New Roman"/>
                <w:color w:val="000000"/>
                <w:sz w:val="22"/>
              </w:rPr>
              <w:t>进出口贡献</w:t>
            </w:r>
            <w:r>
              <w:rPr>
                <w:rFonts w:hint="eastAsia" w:ascii="Times New Roman" w:hAnsi="Times New Roman"/>
                <w:color w:val="000000"/>
                <w:sz w:val="22"/>
              </w:rPr>
              <w:br w:type="textWrapping"/>
            </w:r>
            <w:r>
              <w:rPr>
                <w:rFonts w:hint="eastAsia" w:ascii="Times New Roman" w:hAnsi="Times New Roman"/>
                <w:color w:val="000000"/>
                <w:sz w:val="22"/>
              </w:rPr>
              <w:t>（95分）</w:t>
            </w:r>
          </w:p>
        </w:tc>
        <w:tc>
          <w:tcPr>
            <w:tcW w:w="2297" w:type="dxa"/>
            <w:tcBorders>
              <w:tl2br w:val="nil"/>
              <w:tr2bl w:val="nil"/>
            </w:tcBorders>
            <w:shd w:val="clear" w:color="auto" w:fill="auto"/>
            <w:vAlign w:val="center"/>
          </w:tcPr>
          <w:p w14:paraId="149956F7">
            <w:pPr>
              <w:widowControl/>
              <w:jc w:val="center"/>
              <w:rPr>
                <w:rFonts w:ascii="Times New Roman" w:hAnsi="Times New Roman"/>
                <w:color w:val="000000"/>
                <w:sz w:val="22"/>
              </w:rPr>
            </w:pPr>
            <w:r>
              <w:rPr>
                <w:rFonts w:hint="eastAsia" w:ascii="Times New Roman" w:hAnsi="Times New Roman"/>
                <w:color w:val="000000"/>
                <w:sz w:val="22"/>
              </w:rPr>
              <w:t>年进出口总额（亿元）</w:t>
            </w:r>
          </w:p>
          <w:p w14:paraId="4097898D">
            <w:pPr>
              <w:widowControl/>
              <w:jc w:val="center"/>
              <w:rPr>
                <w:rFonts w:ascii="Times New Roman" w:hAnsi="Times New Roman"/>
                <w:color w:val="000000"/>
                <w:sz w:val="22"/>
              </w:rPr>
            </w:pPr>
            <w:r>
              <w:rPr>
                <w:rFonts w:hint="eastAsia" w:ascii="Times New Roman" w:hAnsi="Times New Roman"/>
                <w:color w:val="000000"/>
                <w:sz w:val="22"/>
              </w:rPr>
              <w:t>（90分）</w:t>
            </w:r>
          </w:p>
        </w:tc>
        <w:tc>
          <w:tcPr>
            <w:tcW w:w="2537" w:type="dxa"/>
            <w:tcBorders>
              <w:tl2br w:val="nil"/>
              <w:tr2bl w:val="nil"/>
            </w:tcBorders>
            <w:shd w:val="clear" w:color="auto" w:fill="auto"/>
            <w:vAlign w:val="center"/>
          </w:tcPr>
          <w:p w14:paraId="10284709">
            <w:pPr>
              <w:widowControl/>
              <w:jc w:val="left"/>
              <w:rPr>
                <w:rFonts w:ascii="Times New Roman" w:hAnsi="Times New Roman"/>
                <w:color w:val="000000"/>
                <w:sz w:val="22"/>
              </w:rPr>
            </w:pPr>
            <w:r>
              <w:rPr>
                <w:rFonts w:hint="eastAsia" w:ascii="Times New Roman" w:hAnsi="Times New Roman"/>
                <w:color w:val="000000"/>
                <w:sz w:val="22"/>
              </w:rPr>
              <w:t>以海关统计数据为准</w:t>
            </w:r>
          </w:p>
        </w:tc>
        <w:tc>
          <w:tcPr>
            <w:tcW w:w="5444" w:type="dxa"/>
            <w:tcBorders>
              <w:tl2br w:val="nil"/>
              <w:tr2bl w:val="nil"/>
            </w:tcBorders>
            <w:shd w:val="clear" w:color="auto" w:fill="auto"/>
            <w:noWrap/>
            <w:vAlign w:val="center"/>
          </w:tcPr>
          <w:p w14:paraId="53AC7C05">
            <w:pPr>
              <w:widowControl/>
              <w:jc w:val="left"/>
              <w:rPr>
                <w:rFonts w:ascii="Times New Roman" w:hAnsi="Times New Roman"/>
                <w:color w:val="000000"/>
                <w:sz w:val="22"/>
              </w:rPr>
            </w:pPr>
            <w:r>
              <w:rPr>
                <w:rFonts w:hint="eastAsia" w:ascii="Times New Roman" w:hAnsi="Times New Roman"/>
                <w:color w:val="000000"/>
                <w:sz w:val="22"/>
              </w:rPr>
              <w:t>根据年进出口总额在全市的排名情况赋分，制造类和其他类型的企业分别赋分，位居第一位的赋满分90分，每递减一名扣1分。</w:t>
            </w:r>
          </w:p>
        </w:tc>
        <w:tc>
          <w:tcPr>
            <w:tcW w:w="1562" w:type="dxa"/>
            <w:tcBorders>
              <w:tl2br w:val="nil"/>
              <w:tr2bl w:val="nil"/>
            </w:tcBorders>
            <w:shd w:val="clear" w:color="auto" w:fill="auto"/>
            <w:vAlign w:val="center"/>
          </w:tcPr>
          <w:p w14:paraId="4880680D">
            <w:pPr>
              <w:widowControl/>
              <w:jc w:val="left"/>
              <w:rPr>
                <w:rFonts w:ascii="Times New Roman" w:hAnsi="Times New Roman"/>
                <w:color w:val="000000"/>
                <w:sz w:val="22"/>
              </w:rPr>
            </w:pPr>
            <w:r>
              <w:rPr>
                <w:rFonts w:hint="eastAsia" w:ascii="Times New Roman" w:hAnsi="Times New Roman"/>
                <w:color w:val="000000"/>
                <w:sz w:val="22"/>
              </w:rPr>
              <w:t>海关统计数据</w:t>
            </w:r>
          </w:p>
        </w:tc>
        <w:tc>
          <w:tcPr>
            <w:tcW w:w="1566" w:type="dxa"/>
            <w:tcBorders>
              <w:tl2br w:val="nil"/>
              <w:tr2bl w:val="nil"/>
            </w:tcBorders>
            <w:shd w:val="clear" w:color="auto" w:fill="auto"/>
            <w:noWrap/>
            <w:vAlign w:val="center"/>
          </w:tcPr>
          <w:p w14:paraId="4D37DE58">
            <w:pPr>
              <w:widowControl/>
              <w:jc w:val="left"/>
              <w:rPr>
                <w:rFonts w:asciiTheme="minorEastAsia" w:hAnsiTheme="minorEastAsia" w:eastAsiaTheme="minorEastAsia" w:cstheme="minorEastAsia"/>
                <w:kern w:val="0"/>
                <w:sz w:val="32"/>
                <w:szCs w:val="32"/>
              </w:rPr>
            </w:pPr>
          </w:p>
        </w:tc>
      </w:tr>
      <w:tr w14:paraId="669F2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1864" w:type="dxa"/>
            <w:vMerge w:val="continue"/>
            <w:tcBorders>
              <w:tl2br w:val="nil"/>
              <w:tr2bl w:val="nil"/>
            </w:tcBorders>
            <w:shd w:val="clear" w:color="auto" w:fill="auto"/>
            <w:vAlign w:val="center"/>
          </w:tcPr>
          <w:p w14:paraId="29131E69">
            <w:pPr>
              <w:widowControl/>
              <w:jc w:val="left"/>
              <w:rPr>
                <w:rFonts w:ascii="Times New Roman" w:hAnsi="Times New Roman"/>
                <w:color w:val="000000"/>
                <w:sz w:val="22"/>
              </w:rPr>
            </w:pPr>
          </w:p>
        </w:tc>
        <w:tc>
          <w:tcPr>
            <w:tcW w:w="2297" w:type="dxa"/>
            <w:tcBorders>
              <w:tl2br w:val="nil"/>
              <w:tr2bl w:val="nil"/>
            </w:tcBorders>
            <w:shd w:val="clear" w:color="auto" w:fill="auto"/>
            <w:vAlign w:val="center"/>
          </w:tcPr>
          <w:p w14:paraId="766EFD29">
            <w:pPr>
              <w:widowControl/>
              <w:jc w:val="center"/>
              <w:rPr>
                <w:rFonts w:ascii="Times New Roman" w:hAnsi="Times New Roman"/>
                <w:color w:val="000000"/>
                <w:sz w:val="22"/>
              </w:rPr>
            </w:pPr>
            <w:r>
              <w:rPr>
                <w:rFonts w:hint="eastAsia" w:ascii="Times New Roman" w:hAnsi="Times New Roman"/>
                <w:color w:val="000000"/>
                <w:sz w:val="22"/>
              </w:rPr>
              <w:t>年进出口总额增长率（5分）</w:t>
            </w:r>
          </w:p>
        </w:tc>
        <w:tc>
          <w:tcPr>
            <w:tcW w:w="2537" w:type="dxa"/>
            <w:tcBorders>
              <w:tl2br w:val="nil"/>
              <w:tr2bl w:val="nil"/>
            </w:tcBorders>
            <w:shd w:val="clear" w:color="auto" w:fill="auto"/>
            <w:vAlign w:val="center"/>
          </w:tcPr>
          <w:p w14:paraId="47A55859">
            <w:pPr>
              <w:widowControl/>
              <w:jc w:val="left"/>
              <w:rPr>
                <w:rFonts w:ascii="Times New Roman" w:hAnsi="Times New Roman"/>
                <w:color w:val="000000"/>
                <w:sz w:val="22"/>
              </w:rPr>
            </w:pPr>
            <w:r>
              <w:rPr>
                <w:rFonts w:hint="eastAsia" w:ascii="Times New Roman" w:hAnsi="Times New Roman"/>
                <w:color w:val="000000"/>
                <w:sz w:val="22"/>
              </w:rPr>
              <w:t>以海关统计数据为准</w:t>
            </w:r>
          </w:p>
        </w:tc>
        <w:tc>
          <w:tcPr>
            <w:tcW w:w="5444" w:type="dxa"/>
            <w:tcBorders>
              <w:tl2br w:val="nil"/>
              <w:tr2bl w:val="nil"/>
            </w:tcBorders>
            <w:shd w:val="clear" w:color="auto" w:fill="auto"/>
            <w:noWrap/>
            <w:vAlign w:val="center"/>
          </w:tcPr>
          <w:p w14:paraId="7C233120">
            <w:pPr>
              <w:widowControl/>
              <w:jc w:val="left"/>
              <w:rPr>
                <w:rFonts w:ascii="Times New Roman" w:hAnsi="Times New Roman"/>
                <w:color w:val="000000"/>
                <w:sz w:val="22"/>
              </w:rPr>
            </w:pPr>
            <w:r>
              <w:rPr>
                <w:rFonts w:hint="eastAsia" w:ascii="Times New Roman" w:hAnsi="Times New Roman"/>
                <w:color w:val="000000"/>
                <w:sz w:val="22"/>
              </w:rPr>
              <w:t>根据年进出口总额增长率赋分，增长率达75%以上-100%以上的赋满分5分，50%以上-75%的加4分，25%以上-50%的加3分，0-25%的加2分，负增长的不得分。</w:t>
            </w:r>
          </w:p>
        </w:tc>
        <w:tc>
          <w:tcPr>
            <w:tcW w:w="1562" w:type="dxa"/>
            <w:tcBorders>
              <w:tl2br w:val="nil"/>
              <w:tr2bl w:val="nil"/>
            </w:tcBorders>
            <w:shd w:val="clear" w:color="auto" w:fill="auto"/>
            <w:vAlign w:val="center"/>
          </w:tcPr>
          <w:p w14:paraId="598120EC">
            <w:pPr>
              <w:widowControl/>
              <w:jc w:val="left"/>
              <w:rPr>
                <w:rFonts w:ascii="Times New Roman" w:hAnsi="Times New Roman"/>
                <w:color w:val="000000"/>
                <w:sz w:val="22"/>
              </w:rPr>
            </w:pPr>
            <w:r>
              <w:rPr>
                <w:rFonts w:hint="eastAsia" w:ascii="Times New Roman" w:hAnsi="Times New Roman"/>
                <w:color w:val="000000"/>
                <w:sz w:val="22"/>
              </w:rPr>
              <w:t>海关统计数据</w:t>
            </w:r>
          </w:p>
        </w:tc>
        <w:tc>
          <w:tcPr>
            <w:tcW w:w="1566" w:type="dxa"/>
            <w:tcBorders>
              <w:tl2br w:val="nil"/>
              <w:tr2bl w:val="nil"/>
            </w:tcBorders>
            <w:shd w:val="clear" w:color="auto" w:fill="auto"/>
            <w:noWrap/>
            <w:vAlign w:val="center"/>
          </w:tcPr>
          <w:p w14:paraId="0A40866F">
            <w:pPr>
              <w:widowControl/>
              <w:jc w:val="left"/>
              <w:rPr>
                <w:rFonts w:asciiTheme="minorEastAsia" w:hAnsiTheme="minorEastAsia" w:eastAsiaTheme="minorEastAsia" w:cstheme="minorEastAsia"/>
                <w:kern w:val="0"/>
                <w:sz w:val="32"/>
                <w:szCs w:val="32"/>
              </w:rPr>
            </w:pPr>
          </w:p>
        </w:tc>
      </w:tr>
      <w:tr w14:paraId="3FCFD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864" w:type="dxa"/>
            <w:tcBorders>
              <w:tl2br w:val="nil"/>
              <w:tr2bl w:val="nil"/>
            </w:tcBorders>
            <w:shd w:val="clear" w:color="auto" w:fill="auto"/>
            <w:vAlign w:val="center"/>
          </w:tcPr>
          <w:p w14:paraId="40E07C42">
            <w:pPr>
              <w:widowControl/>
              <w:jc w:val="center"/>
              <w:rPr>
                <w:rFonts w:ascii="Times New Roman" w:hAnsi="Times New Roman"/>
                <w:color w:val="000000"/>
                <w:sz w:val="22"/>
              </w:rPr>
            </w:pPr>
            <w:r>
              <w:rPr>
                <w:rFonts w:hint="eastAsia" w:ascii="Times New Roman" w:hAnsi="Times New Roman"/>
                <w:color w:val="000000"/>
                <w:sz w:val="22"/>
              </w:rPr>
              <w:t>诚信经营</w:t>
            </w:r>
          </w:p>
          <w:p w14:paraId="351AA40A">
            <w:pPr>
              <w:widowControl/>
              <w:jc w:val="center"/>
              <w:rPr>
                <w:rFonts w:ascii="Times New Roman" w:hAnsi="Times New Roman"/>
                <w:color w:val="000000"/>
                <w:sz w:val="22"/>
              </w:rPr>
            </w:pPr>
            <w:r>
              <w:rPr>
                <w:rFonts w:hint="eastAsia" w:ascii="Times New Roman" w:hAnsi="Times New Roman"/>
                <w:color w:val="000000"/>
                <w:sz w:val="22"/>
              </w:rPr>
              <w:t>（5分）</w:t>
            </w:r>
          </w:p>
        </w:tc>
        <w:tc>
          <w:tcPr>
            <w:tcW w:w="2297" w:type="dxa"/>
            <w:tcBorders>
              <w:tl2br w:val="nil"/>
              <w:tr2bl w:val="nil"/>
            </w:tcBorders>
            <w:shd w:val="clear" w:color="auto" w:fill="auto"/>
            <w:vAlign w:val="center"/>
          </w:tcPr>
          <w:p w14:paraId="0B571FFE">
            <w:pPr>
              <w:widowControl/>
              <w:jc w:val="center"/>
              <w:rPr>
                <w:rFonts w:ascii="Times New Roman" w:hAnsi="Times New Roman"/>
                <w:color w:val="000000"/>
                <w:sz w:val="22"/>
              </w:rPr>
            </w:pPr>
            <w:r>
              <w:rPr>
                <w:rFonts w:hint="eastAsia" w:ascii="Times New Roman" w:hAnsi="Times New Roman"/>
                <w:color w:val="000000"/>
                <w:sz w:val="22"/>
              </w:rPr>
              <w:t>在海关、外汇、税务等</w:t>
            </w:r>
          </w:p>
          <w:p w14:paraId="2EA34206">
            <w:pPr>
              <w:widowControl/>
              <w:jc w:val="center"/>
              <w:rPr>
                <w:rFonts w:ascii="Times New Roman" w:hAnsi="Times New Roman"/>
                <w:color w:val="000000"/>
                <w:sz w:val="22"/>
              </w:rPr>
            </w:pPr>
            <w:r>
              <w:rPr>
                <w:rFonts w:hint="eastAsia" w:ascii="Times New Roman" w:hAnsi="Times New Roman"/>
                <w:color w:val="000000"/>
                <w:sz w:val="22"/>
              </w:rPr>
              <w:t>进出口业务中违规情况</w:t>
            </w:r>
          </w:p>
        </w:tc>
        <w:tc>
          <w:tcPr>
            <w:tcW w:w="2537" w:type="dxa"/>
            <w:tcBorders>
              <w:tl2br w:val="nil"/>
              <w:tr2bl w:val="nil"/>
            </w:tcBorders>
            <w:shd w:val="clear" w:color="auto" w:fill="auto"/>
            <w:vAlign w:val="center"/>
          </w:tcPr>
          <w:p w14:paraId="2E29A3E0">
            <w:pPr>
              <w:widowControl/>
              <w:rPr>
                <w:rFonts w:ascii="Times New Roman" w:hAnsi="Times New Roman"/>
                <w:color w:val="000000"/>
                <w:sz w:val="22"/>
              </w:rPr>
            </w:pPr>
            <w:r>
              <w:rPr>
                <w:rFonts w:hint="eastAsia" w:ascii="Times New Roman" w:hAnsi="Times New Roman"/>
                <w:color w:val="000000"/>
                <w:sz w:val="22"/>
              </w:rPr>
              <w:t>一般违规情况酌情扣分，重大违法违规情况一票否决</w:t>
            </w:r>
          </w:p>
        </w:tc>
        <w:tc>
          <w:tcPr>
            <w:tcW w:w="5444" w:type="dxa"/>
            <w:tcBorders>
              <w:tl2br w:val="nil"/>
              <w:tr2bl w:val="nil"/>
            </w:tcBorders>
            <w:shd w:val="clear" w:color="auto" w:fill="auto"/>
            <w:noWrap/>
            <w:vAlign w:val="center"/>
          </w:tcPr>
          <w:p w14:paraId="701EF71B">
            <w:pPr>
              <w:widowControl/>
              <w:rPr>
                <w:rFonts w:ascii="Times New Roman" w:hAnsi="Times New Roman"/>
                <w:color w:val="000000"/>
                <w:sz w:val="22"/>
              </w:rPr>
            </w:pPr>
            <w:r>
              <w:rPr>
                <w:rFonts w:hint="eastAsia" w:ascii="Times New Roman" w:hAnsi="Times New Roman"/>
                <w:color w:val="000000"/>
                <w:sz w:val="22"/>
              </w:rPr>
              <w:t>每出现1次相关违规情况扣0.5分，扣除最多不超过5分，重大违法违规情况一票否决。</w:t>
            </w:r>
          </w:p>
        </w:tc>
        <w:tc>
          <w:tcPr>
            <w:tcW w:w="1562" w:type="dxa"/>
            <w:tcBorders>
              <w:tl2br w:val="nil"/>
              <w:tr2bl w:val="nil"/>
            </w:tcBorders>
            <w:shd w:val="clear" w:color="auto" w:fill="auto"/>
            <w:vAlign w:val="center"/>
          </w:tcPr>
          <w:p w14:paraId="435E05EA">
            <w:pPr>
              <w:widowControl/>
              <w:jc w:val="center"/>
              <w:rPr>
                <w:rFonts w:ascii="Times New Roman" w:hAnsi="Times New Roman"/>
                <w:color w:val="000000"/>
                <w:sz w:val="22"/>
              </w:rPr>
            </w:pPr>
            <w:r>
              <w:rPr>
                <w:rFonts w:hint="eastAsia" w:ascii="Times New Roman" w:hAnsi="Times New Roman"/>
                <w:color w:val="000000"/>
                <w:sz w:val="22"/>
              </w:rPr>
              <w:t>组织调查</w:t>
            </w:r>
          </w:p>
        </w:tc>
        <w:tc>
          <w:tcPr>
            <w:tcW w:w="1566" w:type="dxa"/>
            <w:tcBorders>
              <w:tl2br w:val="nil"/>
              <w:tr2bl w:val="nil"/>
            </w:tcBorders>
            <w:shd w:val="clear" w:color="auto" w:fill="auto"/>
            <w:noWrap/>
            <w:vAlign w:val="center"/>
          </w:tcPr>
          <w:p w14:paraId="05CB6236">
            <w:pPr>
              <w:widowControl/>
              <w:jc w:val="center"/>
              <w:rPr>
                <w:rFonts w:asciiTheme="minorEastAsia" w:hAnsiTheme="minorEastAsia" w:eastAsiaTheme="minorEastAsia" w:cstheme="minorEastAsia"/>
                <w:kern w:val="0"/>
                <w:sz w:val="32"/>
                <w:szCs w:val="32"/>
              </w:rPr>
            </w:pPr>
          </w:p>
        </w:tc>
      </w:tr>
      <w:tr w14:paraId="30F9A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4161" w:type="dxa"/>
            <w:gridSpan w:val="2"/>
            <w:tcBorders>
              <w:tl2br w:val="nil"/>
              <w:tr2bl w:val="nil"/>
            </w:tcBorders>
            <w:shd w:val="clear" w:color="auto" w:fill="auto"/>
            <w:vAlign w:val="center"/>
          </w:tcPr>
          <w:p w14:paraId="17408BF0">
            <w:pPr>
              <w:spacing w:line="300" w:lineRule="exact"/>
              <w:ind w:firstLine="1546" w:firstLineChars="700"/>
              <w:rPr>
                <w:rFonts w:ascii="Times New Roman" w:hAnsi="Times New Roman"/>
                <w:b/>
                <w:sz w:val="22"/>
              </w:rPr>
            </w:pPr>
            <w:r>
              <w:rPr>
                <w:rFonts w:hint="eastAsia" w:ascii="Times New Roman" w:hAnsi="Times New Roman"/>
                <w:b/>
                <w:sz w:val="22"/>
              </w:rPr>
              <w:t>总体意见</w:t>
            </w:r>
          </w:p>
        </w:tc>
        <w:tc>
          <w:tcPr>
            <w:tcW w:w="7981" w:type="dxa"/>
            <w:gridSpan w:val="2"/>
            <w:tcBorders>
              <w:tl2br w:val="nil"/>
              <w:tr2bl w:val="nil"/>
            </w:tcBorders>
            <w:shd w:val="clear" w:color="auto" w:fill="auto"/>
            <w:vAlign w:val="center"/>
          </w:tcPr>
          <w:p w14:paraId="06652C74">
            <w:pPr>
              <w:widowControl/>
              <w:rPr>
                <w:rFonts w:asciiTheme="minorEastAsia" w:hAnsiTheme="minorEastAsia" w:eastAsiaTheme="minorEastAsia" w:cstheme="minorEastAsia"/>
                <w:kern w:val="0"/>
                <w:sz w:val="32"/>
                <w:szCs w:val="32"/>
              </w:rPr>
            </w:pPr>
          </w:p>
        </w:tc>
        <w:tc>
          <w:tcPr>
            <w:tcW w:w="1560" w:type="dxa"/>
            <w:tcBorders>
              <w:tl2br w:val="nil"/>
              <w:tr2bl w:val="nil"/>
            </w:tcBorders>
            <w:shd w:val="clear" w:color="auto" w:fill="auto"/>
            <w:vAlign w:val="center"/>
          </w:tcPr>
          <w:p w14:paraId="1698D032">
            <w:pPr>
              <w:spacing w:line="300" w:lineRule="exact"/>
              <w:jc w:val="center"/>
              <w:rPr>
                <w:rFonts w:asciiTheme="minorEastAsia" w:hAnsiTheme="minorEastAsia" w:eastAsiaTheme="minorEastAsia" w:cstheme="minorEastAsia"/>
                <w:kern w:val="0"/>
                <w:sz w:val="32"/>
                <w:szCs w:val="32"/>
              </w:rPr>
            </w:pPr>
            <w:r>
              <w:rPr>
                <w:rFonts w:hint="eastAsia" w:ascii="Times New Roman" w:hAnsi="Times New Roman"/>
                <w:b/>
                <w:sz w:val="22"/>
              </w:rPr>
              <w:t>得分合计</w:t>
            </w:r>
          </w:p>
        </w:tc>
        <w:tc>
          <w:tcPr>
            <w:tcW w:w="1568" w:type="dxa"/>
            <w:tcBorders>
              <w:tl2br w:val="nil"/>
              <w:tr2bl w:val="nil"/>
            </w:tcBorders>
            <w:shd w:val="clear" w:color="auto" w:fill="auto"/>
            <w:vAlign w:val="center"/>
          </w:tcPr>
          <w:p w14:paraId="776DB883">
            <w:pPr>
              <w:widowControl/>
              <w:jc w:val="center"/>
              <w:rPr>
                <w:rFonts w:asciiTheme="minorEastAsia" w:hAnsiTheme="minorEastAsia" w:eastAsiaTheme="minorEastAsia" w:cstheme="minorEastAsia"/>
                <w:kern w:val="0"/>
                <w:sz w:val="32"/>
                <w:szCs w:val="32"/>
              </w:rPr>
            </w:pPr>
          </w:p>
        </w:tc>
      </w:tr>
    </w:tbl>
    <w:p w14:paraId="7B61FC2E">
      <w:pPr>
        <w:rPr>
          <w:rFonts w:ascii="Times New Roman" w:hAnsi="Times New Roman"/>
          <w:color w:val="000000"/>
          <w:sz w:val="22"/>
        </w:rPr>
      </w:pPr>
      <w:r>
        <w:rPr>
          <w:rFonts w:hint="eastAsia" w:ascii="Times New Roman" w:hAnsi="Times New Roman"/>
          <w:color w:val="000000"/>
          <w:sz w:val="22"/>
        </w:rPr>
        <w:t>备注：制造类和其他类型企业分别排序，如产生最终得分相同的情况，按年度进出口金额的高低依次排序。</w:t>
      </w:r>
    </w:p>
    <w:p w14:paraId="7654F35C">
      <w:pPr>
        <w:rPr>
          <w:rFonts w:ascii="Times New Roman" w:hAnsi="Times New Roman"/>
          <w:szCs w:val="24"/>
        </w:rPr>
      </w:pPr>
    </w:p>
    <w:p w14:paraId="2EEABC04">
      <w:pPr>
        <w:spacing w:line="560" w:lineRule="exact"/>
        <w:jc w:val="left"/>
        <w:rPr>
          <w:rFonts w:ascii="Times New Roman" w:hAnsi="Times New Roman"/>
          <w:sz w:val="30"/>
          <w:szCs w:val="30"/>
        </w:rPr>
      </w:pPr>
      <w:r>
        <w:br w:type="page"/>
      </w:r>
      <w:r>
        <w:rPr>
          <w:rFonts w:ascii="Times New Roman" w:hAnsi="Times New Roman"/>
          <w:sz w:val="30"/>
          <w:szCs w:val="30"/>
        </w:rPr>
        <w:t>附件六</w:t>
      </w:r>
    </w:p>
    <w:p w14:paraId="1AC6E7D8">
      <w:pPr>
        <w:spacing w:after="12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2024年度青岛企业高质量发展典型案例审查计分表</w:t>
      </w:r>
    </w:p>
    <w:tbl>
      <w:tblPr>
        <w:tblStyle w:val="5"/>
        <w:tblW w:w="497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00"/>
        <w:gridCol w:w="2122"/>
        <w:gridCol w:w="5712"/>
        <w:gridCol w:w="2285"/>
        <w:gridCol w:w="1795"/>
        <w:gridCol w:w="1389"/>
      </w:tblGrid>
      <w:tr w14:paraId="5ECC36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jc w:val="center"/>
        </w:trPr>
        <w:tc>
          <w:tcPr>
            <w:tcW w:w="1129" w:type="dxa"/>
            <w:vAlign w:val="center"/>
          </w:tcPr>
          <w:p w14:paraId="0CB1AD5C">
            <w:pPr>
              <w:jc w:val="center"/>
              <w:rPr>
                <w:rFonts w:ascii="Times New Roman" w:hAnsi="Times New Roman"/>
                <w:b/>
                <w:sz w:val="22"/>
              </w:rPr>
            </w:pPr>
            <w:r>
              <w:rPr>
                <w:rFonts w:ascii="Times New Roman" w:hAnsi="Times New Roman"/>
                <w:b/>
                <w:sz w:val="22"/>
              </w:rPr>
              <w:t>一级指标</w:t>
            </w:r>
          </w:p>
        </w:tc>
        <w:tc>
          <w:tcPr>
            <w:tcW w:w="1843" w:type="dxa"/>
            <w:vAlign w:val="center"/>
          </w:tcPr>
          <w:p w14:paraId="6CF4EB12">
            <w:pPr>
              <w:jc w:val="center"/>
              <w:rPr>
                <w:rFonts w:ascii="Times New Roman" w:hAnsi="Times New Roman"/>
                <w:b/>
                <w:sz w:val="22"/>
              </w:rPr>
            </w:pPr>
            <w:r>
              <w:rPr>
                <w:rFonts w:ascii="Times New Roman" w:hAnsi="Times New Roman"/>
                <w:b/>
                <w:sz w:val="22"/>
              </w:rPr>
              <w:t>二级指标</w:t>
            </w:r>
          </w:p>
        </w:tc>
        <w:tc>
          <w:tcPr>
            <w:tcW w:w="4961" w:type="dxa"/>
            <w:vAlign w:val="center"/>
          </w:tcPr>
          <w:p w14:paraId="6EE8DB72">
            <w:pPr>
              <w:spacing w:before="48" w:after="48"/>
              <w:jc w:val="center"/>
              <w:rPr>
                <w:rFonts w:ascii="Times New Roman" w:hAnsi="Times New Roman"/>
                <w:b/>
                <w:sz w:val="22"/>
              </w:rPr>
            </w:pPr>
            <w:r>
              <w:rPr>
                <w:rFonts w:ascii="Times New Roman" w:hAnsi="Times New Roman"/>
                <w:b/>
                <w:sz w:val="22"/>
              </w:rPr>
              <w:t>二级指标解释</w:t>
            </w:r>
          </w:p>
        </w:tc>
        <w:tc>
          <w:tcPr>
            <w:tcW w:w="1985" w:type="dxa"/>
            <w:vAlign w:val="center"/>
          </w:tcPr>
          <w:p w14:paraId="42491814">
            <w:pPr>
              <w:jc w:val="center"/>
              <w:rPr>
                <w:rFonts w:ascii="Times New Roman" w:hAnsi="Times New Roman"/>
                <w:b/>
                <w:sz w:val="22"/>
              </w:rPr>
            </w:pPr>
            <w:r>
              <w:rPr>
                <w:rFonts w:ascii="Times New Roman" w:hAnsi="Times New Roman"/>
                <w:b/>
                <w:sz w:val="22"/>
              </w:rPr>
              <w:t>赋分细则</w:t>
            </w:r>
          </w:p>
        </w:tc>
        <w:tc>
          <w:tcPr>
            <w:tcW w:w="1559" w:type="dxa"/>
            <w:vAlign w:val="center"/>
          </w:tcPr>
          <w:p w14:paraId="511A6E2A">
            <w:pPr>
              <w:rPr>
                <w:rFonts w:ascii="Times New Roman" w:hAnsi="Times New Roman"/>
                <w:b/>
                <w:sz w:val="22"/>
              </w:rPr>
            </w:pPr>
            <w:r>
              <w:rPr>
                <w:rFonts w:ascii="Times New Roman" w:hAnsi="Times New Roman"/>
                <w:b/>
                <w:sz w:val="22"/>
              </w:rPr>
              <w:t>审查依据资料</w:t>
            </w:r>
          </w:p>
        </w:tc>
        <w:tc>
          <w:tcPr>
            <w:tcW w:w="1207" w:type="dxa"/>
            <w:vAlign w:val="center"/>
          </w:tcPr>
          <w:p w14:paraId="770C2F02">
            <w:pPr>
              <w:rPr>
                <w:rFonts w:ascii="Times New Roman" w:hAnsi="Times New Roman"/>
                <w:b/>
                <w:sz w:val="22"/>
              </w:rPr>
            </w:pPr>
            <w:r>
              <w:rPr>
                <w:rFonts w:ascii="Times New Roman" w:hAnsi="Times New Roman"/>
                <w:b/>
                <w:sz w:val="22"/>
              </w:rPr>
              <w:t>审查计分</w:t>
            </w:r>
          </w:p>
        </w:tc>
      </w:tr>
      <w:tr w14:paraId="4E741C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9" w:type="dxa"/>
            <w:vAlign w:val="center"/>
          </w:tcPr>
          <w:p w14:paraId="11602CDA">
            <w:pPr>
              <w:jc w:val="center"/>
              <w:rPr>
                <w:rFonts w:ascii="Times New Roman" w:hAnsi="Times New Roman"/>
                <w:bCs/>
                <w:sz w:val="22"/>
              </w:rPr>
            </w:pPr>
            <w:r>
              <w:rPr>
                <w:rFonts w:ascii="Times New Roman" w:hAnsi="Times New Roman"/>
                <w:bCs/>
                <w:sz w:val="22"/>
              </w:rPr>
              <w:t>符合五大发展理念情况（40分）</w:t>
            </w:r>
          </w:p>
        </w:tc>
        <w:tc>
          <w:tcPr>
            <w:tcW w:w="1843" w:type="dxa"/>
            <w:vAlign w:val="center"/>
          </w:tcPr>
          <w:p w14:paraId="40508E8D">
            <w:pPr>
              <w:spacing w:line="20" w:lineRule="atLeast"/>
              <w:jc w:val="center"/>
              <w:rPr>
                <w:rFonts w:ascii="Times New Roman" w:hAnsi="Times New Roman"/>
                <w:bCs/>
                <w:sz w:val="22"/>
              </w:rPr>
            </w:pPr>
            <w:r>
              <w:rPr>
                <w:rFonts w:ascii="Times New Roman" w:hAnsi="Times New Roman"/>
                <w:bCs/>
                <w:sz w:val="22"/>
              </w:rPr>
              <w:t>符合五大发展理念情况（40分）</w:t>
            </w:r>
          </w:p>
        </w:tc>
        <w:tc>
          <w:tcPr>
            <w:tcW w:w="4961" w:type="dxa"/>
            <w:vAlign w:val="center"/>
          </w:tcPr>
          <w:p w14:paraId="7968A26F">
            <w:pPr>
              <w:spacing w:before="48" w:after="48"/>
              <w:rPr>
                <w:rFonts w:ascii="Times New Roman" w:hAnsi="Times New Roman"/>
                <w:bCs/>
                <w:sz w:val="22"/>
              </w:rPr>
            </w:pPr>
            <w:r>
              <w:rPr>
                <w:rFonts w:ascii="Times New Roman" w:hAnsi="Times New Roman"/>
                <w:bCs/>
                <w:sz w:val="22"/>
              </w:rPr>
              <w:t>项目或业务符合创新、协调、绿色、开放、共享的新发展理念，调整优化青岛经济结构，实现劳动力、技术、产品、土地、资本、制度或模式创新等要素的最优配置。</w:t>
            </w:r>
          </w:p>
        </w:tc>
        <w:tc>
          <w:tcPr>
            <w:tcW w:w="1985" w:type="dxa"/>
            <w:vAlign w:val="center"/>
          </w:tcPr>
          <w:p w14:paraId="7FFA2886">
            <w:pPr>
              <w:rPr>
                <w:rFonts w:ascii="Times New Roman" w:hAnsi="Times New Roman"/>
                <w:bCs/>
                <w:sz w:val="22"/>
              </w:rPr>
            </w:pPr>
            <w:r>
              <w:rPr>
                <w:rFonts w:ascii="Times New Roman" w:hAnsi="Times New Roman"/>
                <w:bCs/>
                <w:sz w:val="22"/>
              </w:rPr>
              <w:t>符合条件得满分，其他酌情给分。</w:t>
            </w:r>
          </w:p>
        </w:tc>
        <w:tc>
          <w:tcPr>
            <w:tcW w:w="1559" w:type="dxa"/>
            <w:vAlign w:val="center"/>
          </w:tcPr>
          <w:p w14:paraId="1D396A76">
            <w:pPr>
              <w:rPr>
                <w:rFonts w:ascii="Times New Roman" w:hAnsi="Times New Roman"/>
                <w:bCs/>
                <w:sz w:val="22"/>
              </w:rPr>
            </w:pPr>
            <w:r>
              <w:rPr>
                <w:rFonts w:ascii="Times New Roman" w:hAnsi="Times New Roman"/>
                <w:bCs/>
                <w:sz w:val="22"/>
              </w:rPr>
              <w:t>1.申报材料</w:t>
            </w:r>
            <w:r>
              <w:br w:type="textWrapping"/>
            </w:r>
            <w:r>
              <w:rPr>
                <w:rFonts w:ascii="Times New Roman" w:hAnsi="Times New Roman"/>
                <w:bCs/>
                <w:sz w:val="22"/>
              </w:rPr>
              <w:t>2.组织调查</w:t>
            </w:r>
          </w:p>
        </w:tc>
        <w:tc>
          <w:tcPr>
            <w:tcW w:w="1207" w:type="dxa"/>
            <w:vAlign w:val="center"/>
          </w:tcPr>
          <w:p w14:paraId="071D3329">
            <w:pPr>
              <w:rPr>
                <w:rFonts w:ascii="Times New Roman" w:hAnsi="Times New Roman"/>
                <w:sz w:val="22"/>
              </w:rPr>
            </w:pPr>
          </w:p>
        </w:tc>
      </w:tr>
      <w:tr w14:paraId="23ECE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1129" w:type="dxa"/>
            <w:vMerge w:val="restart"/>
            <w:vAlign w:val="center"/>
          </w:tcPr>
          <w:p w14:paraId="6EFE74CC">
            <w:pPr>
              <w:jc w:val="center"/>
              <w:rPr>
                <w:rFonts w:ascii="Times New Roman" w:hAnsi="Times New Roman"/>
                <w:bCs/>
                <w:sz w:val="22"/>
              </w:rPr>
            </w:pPr>
          </w:p>
          <w:p w14:paraId="1E79BFAC">
            <w:pPr>
              <w:jc w:val="center"/>
              <w:rPr>
                <w:rFonts w:ascii="Times New Roman" w:hAnsi="Times New Roman"/>
                <w:bCs/>
                <w:sz w:val="22"/>
              </w:rPr>
            </w:pPr>
            <w:r>
              <w:rPr>
                <w:rFonts w:ascii="Times New Roman" w:hAnsi="Times New Roman"/>
                <w:bCs/>
                <w:sz w:val="22"/>
              </w:rPr>
              <w:t>属于重点产业链情况及产业本地化程度（30分）</w:t>
            </w:r>
          </w:p>
        </w:tc>
        <w:tc>
          <w:tcPr>
            <w:tcW w:w="1843" w:type="dxa"/>
            <w:vAlign w:val="center"/>
          </w:tcPr>
          <w:p w14:paraId="48B253B1">
            <w:pPr>
              <w:spacing w:line="20" w:lineRule="atLeast"/>
              <w:jc w:val="center"/>
              <w:rPr>
                <w:rFonts w:ascii="Times New Roman" w:hAnsi="Times New Roman"/>
                <w:bCs/>
                <w:sz w:val="22"/>
              </w:rPr>
            </w:pPr>
            <w:r>
              <w:rPr>
                <w:rFonts w:ascii="Times New Roman" w:hAnsi="Times New Roman"/>
                <w:bCs/>
                <w:sz w:val="22"/>
              </w:rPr>
              <w:t>重点产业链情况</w:t>
            </w:r>
          </w:p>
          <w:p w14:paraId="0494DBDA">
            <w:pPr>
              <w:spacing w:line="20" w:lineRule="atLeast"/>
              <w:jc w:val="center"/>
              <w:rPr>
                <w:rFonts w:ascii="Times New Roman" w:hAnsi="Times New Roman"/>
                <w:bCs/>
                <w:sz w:val="22"/>
              </w:rPr>
            </w:pPr>
            <w:r>
              <w:rPr>
                <w:rFonts w:ascii="Times New Roman" w:hAnsi="Times New Roman"/>
                <w:bCs/>
                <w:sz w:val="22"/>
              </w:rPr>
              <w:t>（15分）</w:t>
            </w:r>
          </w:p>
        </w:tc>
        <w:tc>
          <w:tcPr>
            <w:tcW w:w="4961" w:type="dxa"/>
            <w:vAlign w:val="center"/>
          </w:tcPr>
          <w:p w14:paraId="2A8B381B">
            <w:pPr>
              <w:spacing w:before="48" w:after="48"/>
              <w:rPr>
                <w:rFonts w:ascii="Times New Roman" w:hAnsi="Times New Roman"/>
                <w:bCs/>
                <w:sz w:val="22"/>
              </w:rPr>
            </w:pPr>
            <w:r>
              <w:rPr>
                <w:rFonts w:ascii="Times New Roman" w:hAnsi="Times New Roman"/>
                <w:bCs/>
                <w:sz w:val="22"/>
              </w:rPr>
              <w:t>属于链主项目或细分行业头部企业业务领域；或者是青岛重点产业链发展的链主项目或业务（需考虑重要程度或是否为关键环节）。</w:t>
            </w:r>
          </w:p>
        </w:tc>
        <w:tc>
          <w:tcPr>
            <w:tcW w:w="1985" w:type="dxa"/>
            <w:vAlign w:val="center"/>
          </w:tcPr>
          <w:p w14:paraId="2EB3C65C">
            <w:pPr>
              <w:rPr>
                <w:rFonts w:ascii="Times New Roman" w:hAnsi="Times New Roman"/>
                <w:bCs/>
                <w:sz w:val="22"/>
              </w:rPr>
            </w:pPr>
            <w:r>
              <w:rPr>
                <w:rFonts w:ascii="Times New Roman" w:hAnsi="Times New Roman"/>
                <w:bCs/>
                <w:sz w:val="22"/>
              </w:rPr>
              <w:t>符合条件得满分，其他酌情给分。</w:t>
            </w:r>
          </w:p>
        </w:tc>
        <w:tc>
          <w:tcPr>
            <w:tcW w:w="1559" w:type="dxa"/>
            <w:vAlign w:val="center"/>
          </w:tcPr>
          <w:p w14:paraId="2A8E8CC5">
            <w:pPr>
              <w:rPr>
                <w:rFonts w:ascii="Times New Roman" w:hAnsi="Times New Roman"/>
                <w:bCs/>
                <w:sz w:val="22"/>
              </w:rPr>
            </w:pPr>
            <w:r>
              <w:rPr>
                <w:rFonts w:ascii="Times New Roman" w:hAnsi="Times New Roman"/>
                <w:bCs/>
                <w:sz w:val="22"/>
              </w:rPr>
              <w:t>1.申报材料</w:t>
            </w:r>
            <w:r>
              <w:br w:type="textWrapping"/>
            </w:r>
            <w:r>
              <w:rPr>
                <w:rFonts w:ascii="Times New Roman" w:hAnsi="Times New Roman"/>
                <w:bCs/>
                <w:sz w:val="22"/>
              </w:rPr>
              <w:t>2.组织调查</w:t>
            </w:r>
          </w:p>
        </w:tc>
        <w:tc>
          <w:tcPr>
            <w:tcW w:w="1207" w:type="dxa"/>
            <w:vAlign w:val="center"/>
          </w:tcPr>
          <w:p w14:paraId="485A830F">
            <w:pPr>
              <w:jc w:val="center"/>
              <w:rPr>
                <w:rFonts w:ascii="Times New Roman" w:hAnsi="Times New Roman"/>
                <w:sz w:val="22"/>
              </w:rPr>
            </w:pPr>
          </w:p>
        </w:tc>
      </w:tr>
      <w:tr w14:paraId="2C7E30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9" w:type="dxa"/>
            <w:vMerge w:val="continue"/>
            <w:vAlign w:val="center"/>
          </w:tcPr>
          <w:p w14:paraId="067DDF1C">
            <w:pPr>
              <w:jc w:val="center"/>
              <w:rPr>
                <w:rFonts w:ascii="Times New Roman" w:hAnsi="Times New Roman"/>
                <w:bCs/>
                <w:sz w:val="22"/>
              </w:rPr>
            </w:pPr>
          </w:p>
        </w:tc>
        <w:tc>
          <w:tcPr>
            <w:tcW w:w="1843" w:type="dxa"/>
            <w:vAlign w:val="center"/>
          </w:tcPr>
          <w:p w14:paraId="50DDC2B7">
            <w:pPr>
              <w:spacing w:line="20" w:lineRule="atLeast"/>
              <w:jc w:val="center"/>
              <w:rPr>
                <w:rFonts w:ascii="Times New Roman" w:hAnsi="Times New Roman"/>
                <w:bCs/>
                <w:sz w:val="22"/>
              </w:rPr>
            </w:pPr>
            <w:r>
              <w:rPr>
                <w:rFonts w:ascii="Times New Roman" w:hAnsi="Times New Roman"/>
                <w:bCs/>
                <w:sz w:val="22"/>
              </w:rPr>
              <w:t>产业本地化程度</w:t>
            </w:r>
          </w:p>
          <w:p w14:paraId="60BF4F5B">
            <w:pPr>
              <w:spacing w:line="20" w:lineRule="atLeast"/>
              <w:jc w:val="center"/>
              <w:rPr>
                <w:rFonts w:ascii="Times New Roman" w:hAnsi="Times New Roman"/>
                <w:bCs/>
                <w:sz w:val="22"/>
              </w:rPr>
            </w:pPr>
            <w:r>
              <w:rPr>
                <w:rFonts w:ascii="Times New Roman" w:hAnsi="Times New Roman"/>
                <w:bCs/>
                <w:sz w:val="22"/>
              </w:rPr>
              <w:t>（15分）</w:t>
            </w:r>
          </w:p>
        </w:tc>
        <w:tc>
          <w:tcPr>
            <w:tcW w:w="4961" w:type="dxa"/>
            <w:vAlign w:val="center"/>
          </w:tcPr>
          <w:p w14:paraId="022D8FF0">
            <w:pPr>
              <w:spacing w:before="48" w:after="48"/>
              <w:rPr>
                <w:rFonts w:ascii="Times New Roman" w:hAnsi="Times New Roman"/>
                <w:bCs/>
                <w:sz w:val="22"/>
              </w:rPr>
            </w:pPr>
            <w:r>
              <w:rPr>
                <w:rFonts w:ascii="Times New Roman" w:hAnsi="Times New Roman"/>
                <w:bCs/>
                <w:sz w:val="22"/>
              </w:rPr>
              <w:t>是否将先进技术和生产模式引入本地市场，通过与本地社会文化相融合形成适合本地市场需求的独特产业生态系统，促进地方化生产和经济的发展。</w:t>
            </w:r>
          </w:p>
        </w:tc>
        <w:tc>
          <w:tcPr>
            <w:tcW w:w="1985" w:type="dxa"/>
            <w:vAlign w:val="center"/>
          </w:tcPr>
          <w:p w14:paraId="27A40430">
            <w:pPr>
              <w:rPr>
                <w:rFonts w:ascii="Times New Roman" w:hAnsi="Times New Roman"/>
                <w:bCs/>
                <w:sz w:val="22"/>
              </w:rPr>
            </w:pPr>
            <w:r>
              <w:rPr>
                <w:rFonts w:ascii="Times New Roman" w:hAnsi="Times New Roman"/>
                <w:bCs/>
                <w:sz w:val="22"/>
              </w:rPr>
              <w:t>符合条件得满分，其他酌情给分。</w:t>
            </w:r>
          </w:p>
        </w:tc>
        <w:tc>
          <w:tcPr>
            <w:tcW w:w="1559" w:type="dxa"/>
            <w:vAlign w:val="center"/>
          </w:tcPr>
          <w:p w14:paraId="75A32100">
            <w:pPr>
              <w:rPr>
                <w:rFonts w:ascii="Times New Roman" w:hAnsi="Times New Roman"/>
                <w:bCs/>
                <w:sz w:val="22"/>
              </w:rPr>
            </w:pPr>
            <w:r>
              <w:rPr>
                <w:rFonts w:ascii="Times New Roman" w:hAnsi="Times New Roman"/>
                <w:bCs/>
                <w:sz w:val="22"/>
              </w:rPr>
              <w:t>1.申报材料</w:t>
            </w:r>
            <w:r>
              <w:br w:type="textWrapping"/>
            </w:r>
            <w:r>
              <w:rPr>
                <w:rFonts w:ascii="Times New Roman" w:hAnsi="Times New Roman"/>
                <w:bCs/>
                <w:sz w:val="22"/>
              </w:rPr>
              <w:t>2.组织调查</w:t>
            </w:r>
          </w:p>
        </w:tc>
        <w:tc>
          <w:tcPr>
            <w:tcW w:w="1207" w:type="dxa"/>
            <w:vAlign w:val="center"/>
          </w:tcPr>
          <w:p w14:paraId="425B2A9C">
            <w:pPr>
              <w:jc w:val="center"/>
              <w:rPr>
                <w:rFonts w:ascii="Times New Roman" w:hAnsi="Times New Roman"/>
                <w:sz w:val="22"/>
              </w:rPr>
            </w:pPr>
          </w:p>
        </w:tc>
      </w:tr>
      <w:tr w14:paraId="44893A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9" w:type="dxa"/>
            <w:vMerge w:val="restart"/>
            <w:vAlign w:val="center"/>
          </w:tcPr>
          <w:p w14:paraId="2B0B594C">
            <w:pPr>
              <w:jc w:val="center"/>
              <w:rPr>
                <w:rFonts w:ascii="Times New Roman" w:hAnsi="Times New Roman"/>
                <w:bCs/>
                <w:sz w:val="22"/>
              </w:rPr>
            </w:pPr>
            <w:r>
              <w:rPr>
                <w:rFonts w:ascii="Times New Roman" w:hAnsi="Times New Roman"/>
                <w:bCs/>
                <w:sz w:val="22"/>
              </w:rPr>
              <w:t>项目或业务高端创新情况（30分）</w:t>
            </w:r>
          </w:p>
        </w:tc>
        <w:tc>
          <w:tcPr>
            <w:tcW w:w="1843" w:type="dxa"/>
            <w:vAlign w:val="center"/>
          </w:tcPr>
          <w:p w14:paraId="54571680">
            <w:pPr>
              <w:spacing w:line="20" w:lineRule="atLeast"/>
              <w:jc w:val="center"/>
              <w:rPr>
                <w:rFonts w:ascii="Times New Roman" w:hAnsi="Times New Roman"/>
                <w:bCs/>
                <w:sz w:val="22"/>
              </w:rPr>
            </w:pPr>
            <w:r>
              <w:rPr>
                <w:rFonts w:ascii="Times New Roman" w:hAnsi="Times New Roman"/>
                <w:bCs/>
                <w:sz w:val="22"/>
              </w:rPr>
              <w:t>高端创新产出</w:t>
            </w:r>
          </w:p>
          <w:p w14:paraId="4F75EA6D">
            <w:pPr>
              <w:spacing w:line="20" w:lineRule="atLeast"/>
              <w:jc w:val="center"/>
              <w:rPr>
                <w:rFonts w:ascii="Times New Roman" w:hAnsi="Times New Roman"/>
                <w:bCs/>
                <w:sz w:val="22"/>
              </w:rPr>
            </w:pPr>
            <w:r>
              <w:rPr>
                <w:rFonts w:ascii="Times New Roman" w:hAnsi="Times New Roman"/>
                <w:bCs/>
                <w:sz w:val="22"/>
              </w:rPr>
              <w:t>（20分）</w:t>
            </w:r>
          </w:p>
        </w:tc>
        <w:tc>
          <w:tcPr>
            <w:tcW w:w="4961" w:type="dxa"/>
            <w:vAlign w:val="center"/>
          </w:tcPr>
          <w:p w14:paraId="7997082A">
            <w:pPr>
              <w:spacing w:before="48" w:after="48" w:line="300" w:lineRule="auto"/>
              <w:rPr>
                <w:rFonts w:ascii="Times New Roman" w:hAnsi="Times New Roman"/>
                <w:bCs/>
                <w:sz w:val="22"/>
              </w:rPr>
            </w:pPr>
            <w:r>
              <w:rPr>
                <w:rFonts w:ascii="Times New Roman" w:hAnsi="Times New Roman"/>
                <w:bCs/>
                <w:sz w:val="22"/>
              </w:rPr>
              <w:t>项目或业务是否具有颠覆性、引领性、补白性创新，催生新产业、新模式、新动能，发展和培育新质生产力，生产力驱动方式、作用方式和表现方式发生根本性变革。</w:t>
            </w:r>
          </w:p>
        </w:tc>
        <w:tc>
          <w:tcPr>
            <w:tcW w:w="1985" w:type="dxa"/>
            <w:vAlign w:val="center"/>
          </w:tcPr>
          <w:p w14:paraId="7CF4C81C">
            <w:pPr>
              <w:rPr>
                <w:rFonts w:ascii="Times New Roman" w:hAnsi="Times New Roman"/>
                <w:bCs/>
                <w:sz w:val="22"/>
              </w:rPr>
            </w:pPr>
            <w:r>
              <w:rPr>
                <w:rFonts w:ascii="Times New Roman" w:hAnsi="Times New Roman"/>
                <w:bCs/>
                <w:sz w:val="22"/>
              </w:rPr>
              <w:t>符合条件得满分，其他酌情给分。</w:t>
            </w:r>
          </w:p>
        </w:tc>
        <w:tc>
          <w:tcPr>
            <w:tcW w:w="1559" w:type="dxa"/>
            <w:vAlign w:val="center"/>
          </w:tcPr>
          <w:p w14:paraId="45E90462">
            <w:pPr>
              <w:rPr>
                <w:rFonts w:ascii="Times New Roman" w:hAnsi="Times New Roman"/>
                <w:bCs/>
                <w:sz w:val="22"/>
              </w:rPr>
            </w:pPr>
            <w:r>
              <w:rPr>
                <w:rFonts w:ascii="Times New Roman" w:hAnsi="Times New Roman"/>
                <w:bCs/>
                <w:sz w:val="22"/>
              </w:rPr>
              <w:t>1.申报材料</w:t>
            </w:r>
          </w:p>
          <w:p w14:paraId="2A194891">
            <w:pPr>
              <w:rPr>
                <w:rFonts w:ascii="Times New Roman" w:hAnsi="Times New Roman"/>
                <w:bCs/>
                <w:sz w:val="22"/>
              </w:rPr>
            </w:pPr>
            <w:r>
              <w:rPr>
                <w:rFonts w:ascii="Times New Roman" w:hAnsi="Times New Roman"/>
                <w:bCs/>
                <w:sz w:val="22"/>
              </w:rPr>
              <w:t>2.组织调查</w:t>
            </w:r>
          </w:p>
        </w:tc>
        <w:tc>
          <w:tcPr>
            <w:tcW w:w="1207" w:type="dxa"/>
            <w:vAlign w:val="center"/>
          </w:tcPr>
          <w:p w14:paraId="0DE39DBD">
            <w:pPr>
              <w:jc w:val="center"/>
              <w:rPr>
                <w:rFonts w:ascii="Times New Roman" w:hAnsi="Times New Roman"/>
                <w:sz w:val="22"/>
              </w:rPr>
            </w:pPr>
          </w:p>
        </w:tc>
      </w:tr>
      <w:tr w14:paraId="66BD13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9" w:type="dxa"/>
            <w:vMerge w:val="continue"/>
            <w:vAlign w:val="center"/>
          </w:tcPr>
          <w:p w14:paraId="46DAF0F8">
            <w:pPr>
              <w:jc w:val="center"/>
              <w:rPr>
                <w:rFonts w:ascii="Times New Roman" w:hAnsi="Times New Roman"/>
                <w:b/>
                <w:bCs/>
                <w:sz w:val="22"/>
              </w:rPr>
            </w:pPr>
          </w:p>
        </w:tc>
        <w:tc>
          <w:tcPr>
            <w:tcW w:w="1843" w:type="dxa"/>
            <w:vAlign w:val="center"/>
          </w:tcPr>
          <w:p w14:paraId="3D46D119">
            <w:pPr>
              <w:jc w:val="center"/>
              <w:rPr>
                <w:rFonts w:ascii="Times New Roman" w:hAnsi="Times New Roman"/>
                <w:bCs/>
                <w:sz w:val="22"/>
              </w:rPr>
            </w:pPr>
            <w:r>
              <w:rPr>
                <w:rFonts w:ascii="Times New Roman" w:hAnsi="Times New Roman"/>
                <w:bCs/>
                <w:sz w:val="22"/>
              </w:rPr>
              <w:t>经济贡献潜力</w:t>
            </w:r>
          </w:p>
          <w:p w14:paraId="4D994F3B">
            <w:pPr>
              <w:jc w:val="center"/>
              <w:rPr>
                <w:rFonts w:ascii="Times New Roman" w:hAnsi="Times New Roman"/>
                <w:bCs/>
                <w:sz w:val="22"/>
              </w:rPr>
            </w:pPr>
            <w:r>
              <w:rPr>
                <w:rFonts w:ascii="Times New Roman" w:hAnsi="Times New Roman"/>
                <w:bCs/>
                <w:sz w:val="22"/>
              </w:rPr>
              <w:t>（10分）</w:t>
            </w:r>
          </w:p>
        </w:tc>
        <w:tc>
          <w:tcPr>
            <w:tcW w:w="4961" w:type="dxa"/>
            <w:vAlign w:val="center"/>
          </w:tcPr>
          <w:p w14:paraId="68C32B28">
            <w:pPr>
              <w:spacing w:before="48" w:after="48"/>
              <w:rPr>
                <w:rFonts w:ascii="Times New Roman" w:hAnsi="Times New Roman"/>
                <w:bCs/>
                <w:sz w:val="22"/>
              </w:rPr>
            </w:pPr>
            <w:r>
              <w:rPr>
                <w:rFonts w:ascii="Times New Roman" w:hAnsi="Times New Roman"/>
                <w:bCs/>
                <w:sz w:val="22"/>
              </w:rPr>
              <w:t>项目或业务是否属于朝阳性行业；核心技术竞争力情况如何；项目或业务的经济韧性和潜力情况等。</w:t>
            </w:r>
          </w:p>
        </w:tc>
        <w:tc>
          <w:tcPr>
            <w:tcW w:w="1985" w:type="dxa"/>
            <w:vAlign w:val="center"/>
          </w:tcPr>
          <w:p w14:paraId="6530C9C5">
            <w:pPr>
              <w:rPr>
                <w:rFonts w:ascii="Times New Roman" w:hAnsi="Times New Roman"/>
                <w:bCs/>
                <w:sz w:val="22"/>
              </w:rPr>
            </w:pPr>
            <w:r>
              <w:rPr>
                <w:rFonts w:ascii="Times New Roman" w:hAnsi="Times New Roman"/>
                <w:bCs/>
                <w:sz w:val="22"/>
              </w:rPr>
              <w:t>符合条件得满分，其他酌情给分。</w:t>
            </w:r>
          </w:p>
        </w:tc>
        <w:tc>
          <w:tcPr>
            <w:tcW w:w="1559" w:type="dxa"/>
            <w:vAlign w:val="center"/>
          </w:tcPr>
          <w:p w14:paraId="4E9D7DF7">
            <w:pPr>
              <w:jc w:val="left"/>
              <w:rPr>
                <w:rFonts w:ascii="Times New Roman" w:hAnsi="Times New Roman"/>
                <w:bCs/>
                <w:sz w:val="22"/>
              </w:rPr>
            </w:pPr>
            <w:r>
              <w:rPr>
                <w:rFonts w:ascii="Times New Roman" w:hAnsi="Times New Roman"/>
                <w:bCs/>
                <w:sz w:val="22"/>
              </w:rPr>
              <w:t>1.申报材料</w:t>
            </w:r>
            <w:r>
              <w:br w:type="textWrapping"/>
            </w:r>
            <w:r>
              <w:rPr>
                <w:rFonts w:ascii="Times New Roman" w:hAnsi="Times New Roman"/>
                <w:bCs/>
                <w:sz w:val="22"/>
              </w:rPr>
              <w:t>2.组织调查</w:t>
            </w:r>
          </w:p>
        </w:tc>
        <w:tc>
          <w:tcPr>
            <w:tcW w:w="1207" w:type="dxa"/>
            <w:vAlign w:val="center"/>
          </w:tcPr>
          <w:p w14:paraId="2DBC5DFD">
            <w:pPr>
              <w:jc w:val="center"/>
              <w:rPr>
                <w:rFonts w:ascii="Times New Roman" w:hAnsi="Times New Roman"/>
                <w:bCs/>
                <w:sz w:val="22"/>
              </w:rPr>
            </w:pPr>
          </w:p>
        </w:tc>
      </w:tr>
      <w:tr w14:paraId="4AC56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6" w:hRule="atLeast"/>
          <w:jc w:val="center"/>
        </w:trPr>
        <w:tc>
          <w:tcPr>
            <w:tcW w:w="2972" w:type="dxa"/>
            <w:gridSpan w:val="2"/>
            <w:vAlign w:val="center"/>
          </w:tcPr>
          <w:p w14:paraId="206D5638">
            <w:pPr>
              <w:spacing w:before="48" w:after="48"/>
              <w:jc w:val="center"/>
              <w:rPr>
                <w:rFonts w:ascii="Times New Roman" w:hAnsi="Times New Roman"/>
                <w:b/>
                <w:bCs/>
                <w:sz w:val="22"/>
              </w:rPr>
            </w:pPr>
            <w:r>
              <w:rPr>
                <w:rFonts w:ascii="Times New Roman" w:hAnsi="Times New Roman"/>
                <w:b/>
                <w:bCs/>
                <w:sz w:val="22"/>
              </w:rPr>
              <w:t>总体意见</w:t>
            </w:r>
          </w:p>
        </w:tc>
        <w:tc>
          <w:tcPr>
            <w:tcW w:w="6946" w:type="dxa"/>
            <w:gridSpan w:val="2"/>
            <w:vAlign w:val="center"/>
          </w:tcPr>
          <w:p w14:paraId="0CA1AF67">
            <w:pPr>
              <w:spacing w:before="48" w:after="48"/>
              <w:ind w:firstLine="3975" w:firstLineChars="1800"/>
              <w:rPr>
                <w:rFonts w:ascii="Times New Roman" w:hAnsi="Times New Roman"/>
                <w:b/>
                <w:bCs/>
                <w:sz w:val="22"/>
              </w:rPr>
            </w:pPr>
          </w:p>
        </w:tc>
        <w:tc>
          <w:tcPr>
            <w:tcW w:w="1559" w:type="dxa"/>
            <w:vAlign w:val="center"/>
          </w:tcPr>
          <w:p w14:paraId="4B933292">
            <w:pPr>
              <w:spacing w:before="48" w:after="48"/>
              <w:ind w:firstLine="221" w:firstLineChars="100"/>
              <w:rPr>
                <w:rFonts w:ascii="Times New Roman" w:hAnsi="Times New Roman"/>
                <w:b/>
                <w:bCs/>
                <w:sz w:val="22"/>
              </w:rPr>
            </w:pPr>
            <w:r>
              <w:rPr>
                <w:rFonts w:ascii="Times New Roman" w:hAnsi="Times New Roman"/>
                <w:b/>
                <w:bCs/>
                <w:sz w:val="22"/>
              </w:rPr>
              <w:t>得分合计</w:t>
            </w:r>
          </w:p>
        </w:tc>
        <w:tc>
          <w:tcPr>
            <w:tcW w:w="1207" w:type="dxa"/>
            <w:vAlign w:val="center"/>
          </w:tcPr>
          <w:p w14:paraId="1A71E880">
            <w:pPr>
              <w:jc w:val="center"/>
              <w:rPr>
                <w:rFonts w:ascii="Times New Roman" w:hAnsi="Times New Roman"/>
                <w:b/>
                <w:bCs/>
                <w:sz w:val="22"/>
              </w:rPr>
            </w:pPr>
          </w:p>
        </w:tc>
      </w:tr>
    </w:tbl>
    <w:p w14:paraId="2A7C4B15">
      <w:pPr>
        <w:shd w:val="clear" w:color="auto" w:fill="FFFFFF"/>
        <w:wordWrap w:val="0"/>
        <w:spacing w:line="560" w:lineRule="exact"/>
        <w:rPr>
          <w:rFonts w:ascii="Times New Roman" w:hAnsi="Times New Roman" w:eastAsia="黑体"/>
          <w:color w:val="000000"/>
          <w:kern w:val="0"/>
          <w:szCs w:val="24"/>
        </w:rPr>
        <w:sectPr>
          <w:footerReference r:id="rId4" w:type="default"/>
          <w:footerReference r:id="rId5" w:type="even"/>
          <w:pgSz w:w="16838" w:h="11906" w:orient="landscape"/>
          <w:pgMar w:top="1134" w:right="1134" w:bottom="1020" w:left="1247" w:header="851" w:footer="1588" w:gutter="0"/>
          <w:cols w:space="720" w:num="1"/>
          <w:docGrid w:linePitch="312" w:charSpace="0"/>
        </w:sectPr>
      </w:pPr>
    </w:p>
    <w:p w14:paraId="3E3376DC"/>
    <w:sectPr>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E5B8E22-1779-4054-BFA9-91D6CAC4B51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424E27B0-49DC-4FEA-BCC6-AC9D97FEB0EC}"/>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3" w:fontKey="{8D8F3C05-CF39-4B64-BA23-CF9CAADA7FFB}"/>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4" w:fontKey="{9E6E330F-6A07-4140-92EE-59BEDB6E35CE}"/>
  </w:font>
  <w:font w:name="方正小标宋_GBK">
    <w:panose1 w:val="02000000000000000000"/>
    <w:charset w:val="86"/>
    <w:family w:val="script"/>
    <w:pitch w:val="default"/>
    <w:sig w:usb0="A00002BF" w:usb1="38CF7CFA" w:usb2="00082016" w:usb3="00000000" w:csb0="00040001" w:csb1="00000000"/>
  </w:font>
  <w:font w:name="楷体_GB2312">
    <w:panose1 w:val="02010609030101010101"/>
    <w:charset w:val="86"/>
    <w:family w:val="modern"/>
    <w:pitch w:val="default"/>
    <w:sig w:usb0="00000001" w:usb1="080E0000" w:usb2="00000000" w:usb3="00000000" w:csb0="00040000" w:csb1="00000000"/>
    <w:embedRegular r:id="rId5" w:fontKey="{DC8FA1A4-3310-417C-8820-1A0C500E5329}"/>
  </w:font>
  <w:font w:name="微软雅黑">
    <w:panose1 w:val="020B0503020204020204"/>
    <w:charset w:val="86"/>
    <w:family w:val="swiss"/>
    <w:pitch w:val="default"/>
    <w:sig w:usb0="80000287" w:usb1="2ACF3C50" w:usb2="00000016" w:usb3="00000000" w:csb0="0004001F" w:csb1="00000000"/>
    <w:embedRegular r:id="rId6" w:fontKey="{E92C8631-F183-4B69-95A1-4117218409B8}"/>
  </w:font>
  <w:font w:name="___WRD_EMBED_SUB_41">
    <w:altName w:val="等线"/>
    <w:panose1 w:val="00000000000000000000"/>
    <w:charset w:val="86"/>
    <w:family w:val="auto"/>
    <w:pitch w:val="default"/>
    <w:sig w:usb0="00000000" w:usb1="00000000" w:usb2="00000010" w:usb3="00000000" w:csb0="00040000" w:csb1="00000000"/>
    <w:embedRegular r:id="rId7" w:fontKey="{BB1D8CE6-AA50-49C8-AAD0-750C517596E3}"/>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30D0F">
    <w:pPr>
      <w:pStyle w:val="3"/>
      <w:framePr w:wrap="around" w:vAnchor="text" w:hAnchor="page" w:x="9130" w:y="1"/>
      <w:tabs>
        <w:tab w:val="clear" w:pos="4153"/>
        <w:tab w:val="clear" w:pos="8306"/>
      </w:tabs>
      <w:rPr>
        <w:sz w:val="28"/>
        <w:szCs w:val="28"/>
      </w:rPr>
    </w:pPr>
    <w:r>
      <w:rPr>
        <w:rFonts w:hint="eastAsia"/>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14</w:t>
    </w:r>
    <w:r>
      <w:rPr>
        <w:rStyle w:val="8"/>
        <w:rFonts w:ascii="宋体" w:hAnsi="宋体"/>
        <w:sz w:val="28"/>
        <w:szCs w:val="28"/>
      </w:rPr>
      <w:fldChar w:fldCharType="end"/>
    </w:r>
    <w:r>
      <w:rPr>
        <w:rFonts w:hint="eastAsia"/>
        <w:sz w:val="28"/>
        <w:szCs w:val="28"/>
      </w:rPr>
      <w:t xml:space="preserve"> —</w:t>
    </w:r>
  </w:p>
  <w:p w14:paraId="447716C8">
    <w:pPr>
      <w:pStyle w:val="3"/>
      <w:tabs>
        <w:tab w:val="clear" w:pos="4153"/>
        <w:tab w:val="clear" w:pos="8306"/>
      </w:tabs>
      <w:ind w:right="28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A6715">
    <w:pPr>
      <w:pStyle w:val="3"/>
      <w:framePr w:wrap="around" w:vAnchor="text" w:hAnchor="page" w:x="9130" w:y="1"/>
      <w:tabs>
        <w:tab w:val="clear" w:pos="4153"/>
        <w:tab w:val="clear" w:pos="8306"/>
      </w:tabs>
      <w:rPr>
        <w:sz w:val="28"/>
        <w:szCs w:val="28"/>
      </w:rPr>
    </w:pPr>
    <w:r>
      <w:rPr>
        <w:rFonts w:hint="eastAsia"/>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24</w:t>
    </w:r>
    <w:r>
      <w:rPr>
        <w:rStyle w:val="8"/>
        <w:rFonts w:ascii="宋体" w:hAnsi="宋体"/>
        <w:sz w:val="28"/>
        <w:szCs w:val="28"/>
      </w:rPr>
      <w:fldChar w:fldCharType="end"/>
    </w:r>
    <w:r>
      <w:rPr>
        <w:rFonts w:hint="eastAsia"/>
        <w:sz w:val="28"/>
        <w:szCs w:val="28"/>
      </w:rPr>
      <w:t xml:space="preserve"> —</w:t>
    </w:r>
  </w:p>
  <w:p w14:paraId="09895F77">
    <w:pPr>
      <w:pStyle w:val="3"/>
      <w:tabs>
        <w:tab w:val="clear" w:pos="4153"/>
        <w:tab w:val="clear" w:pos="8306"/>
      </w:tabs>
      <w:ind w:right="28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43E55">
    <w:pPr>
      <w:pStyle w:val="3"/>
      <w:framePr w:wrap="around" w:vAnchor="text" w:hAnchor="page" w:x="1872" w:y="1"/>
      <w:tabs>
        <w:tab w:val="clear" w:pos="4153"/>
        <w:tab w:val="clear" w:pos="8306"/>
      </w:tabs>
      <w:rPr>
        <w:sz w:val="28"/>
        <w:szCs w:val="28"/>
      </w:rPr>
    </w:pPr>
    <w:r>
      <w:rPr>
        <w:rFonts w:hint="eastAsia"/>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8</w:t>
    </w:r>
    <w:r>
      <w:rPr>
        <w:rStyle w:val="8"/>
        <w:rFonts w:ascii="宋体" w:hAnsi="宋体"/>
        <w:sz w:val="28"/>
        <w:szCs w:val="28"/>
      </w:rPr>
      <w:fldChar w:fldCharType="end"/>
    </w:r>
    <w:r>
      <w:rPr>
        <w:rFonts w:hint="eastAsia"/>
        <w:sz w:val="28"/>
        <w:szCs w:val="28"/>
      </w:rPr>
      <w:t xml:space="preserve"> —</w:t>
    </w:r>
  </w:p>
  <w:p w14:paraId="044FFA19">
    <w:pPr>
      <w:pStyle w:val="3"/>
      <w:tabs>
        <w:tab w:val="clear" w:pos="4153"/>
        <w:tab w:val="clear" w:pos="8306"/>
      </w:tabs>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2"/>
    <w:multiLevelType w:val="multilevel"/>
    <w:tmpl w:val="00000002"/>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3"/>
    <w:multiLevelType w:val="multilevel"/>
    <w:tmpl w:val="00000003"/>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4"/>
    <w:multiLevelType w:val="multilevel"/>
    <w:tmpl w:val="00000004"/>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53208E"/>
    <w:multiLevelType w:val="multilevel"/>
    <w:tmpl w:val="0053208E"/>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E13"/>
    <w:rsid w:val="002B1F4D"/>
    <w:rsid w:val="002C6F73"/>
    <w:rsid w:val="00305A1F"/>
    <w:rsid w:val="003A337F"/>
    <w:rsid w:val="00512C60"/>
    <w:rsid w:val="00641E1E"/>
    <w:rsid w:val="008177E1"/>
    <w:rsid w:val="008B2C80"/>
    <w:rsid w:val="00A65D94"/>
    <w:rsid w:val="00AC6885"/>
    <w:rsid w:val="00B83898"/>
    <w:rsid w:val="00BE241D"/>
    <w:rsid w:val="00BF575B"/>
    <w:rsid w:val="00C54EA1"/>
    <w:rsid w:val="00C64BA3"/>
    <w:rsid w:val="00D069B6"/>
    <w:rsid w:val="00D36A09"/>
    <w:rsid w:val="00E25562"/>
    <w:rsid w:val="00E541D4"/>
    <w:rsid w:val="00E76E13"/>
    <w:rsid w:val="00F56721"/>
    <w:rsid w:val="09E61D6A"/>
    <w:rsid w:val="402032EA"/>
    <w:rsid w:val="41B415CD"/>
    <w:rsid w:val="7F5066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qFormat/>
    <w:uiPriority w:val="0"/>
  </w:style>
  <w:style w:type="character" w:customStyle="1" w:styleId="9">
    <w:name w:val="批注框文本 Char"/>
    <w:link w:val="2"/>
    <w:qFormat/>
    <w:uiPriority w:val="0"/>
    <w:rPr>
      <w:sz w:val="18"/>
      <w:szCs w:val="18"/>
    </w:rPr>
  </w:style>
  <w:style w:type="character" w:customStyle="1" w:styleId="10">
    <w:name w:val="页脚 Char"/>
    <w:link w:val="3"/>
    <w:qFormat/>
    <w:uiPriority w:val="0"/>
    <w:rPr>
      <w:sz w:val="18"/>
      <w:szCs w:val="18"/>
    </w:rPr>
  </w:style>
  <w:style w:type="character" w:customStyle="1" w:styleId="11">
    <w:name w:val="页眉 Char"/>
    <w:link w:val="4"/>
    <w:qFormat/>
    <w:uiPriority w:val="0"/>
    <w:rPr>
      <w:sz w:val="18"/>
      <w:szCs w:val="18"/>
    </w:rPr>
  </w:style>
  <w:style w:type="paragraph" w:customStyle="1" w:styleId="12">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3">
    <w:name w:val="列出段落1"/>
    <w:basedOn w:val="1"/>
    <w:qFormat/>
    <w:uiPriority w:val="0"/>
    <w:pPr>
      <w:ind w:firstLine="420" w:firstLineChars="200"/>
    </w:pPr>
    <w:rPr>
      <w:rFonts w:ascii="等线" w:hAnsi="等线" w:eastAsia="等线"/>
    </w:rPr>
  </w:style>
  <w:style w:type="character" w:customStyle="1" w:styleId="14">
    <w:name w:val="页脚 字符"/>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14227</Words>
  <Characters>14783</Characters>
  <Lines>172</Lines>
  <Paragraphs>48</Paragraphs>
  <TotalTime>44</TotalTime>
  <ScaleCrop>false</ScaleCrop>
  <LinksUpToDate>false</LinksUpToDate>
  <CharactersWithSpaces>16434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2025-03-27T03:42:00Z</dcterms:created>
  <dc:creator>jianwen sun</dc:creator>
  <cp:lastModifiedBy>亓粒布亚Ch</cp:lastModifiedBy>
  <cp:lastPrinted>2025-03-28T06:28:00Z</cp:lastPrinted>
  <dcterms:modified xsi:type="dcterms:W3CDTF">2025-03-28T08:38:14Z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DEC41C0DB1264782820AC96879F53772_13</vt:lpwstr>
  </property>
  <property fmtid="{D5CDD505-2E9C-101B-9397-08002B2CF9AE}" pid="3" name="KSOTemplateDocerSaveRecord">
    <vt:lpwstr>eyJoZGlkIjoiMzEwNTM5NzYwMDRjMzkwZTVkZjY2ODkwMGIxNGU0OTUiLCJ1c2VySWQiOiIyMjgxMzczMSJ9</vt:lpwstr>
  </property>
  <property fmtid="{D5CDD505-2E9C-101B-9397-08002B2CF9AE}" pid="4" name="KSOProductBuildVer">
    <vt:lpwstr>2052-12.1.0.19770</vt:lpwstr>
  </property>
</Properties>
</file>